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3b00791e1984a9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88" w:rsidRDefault="00C56C88" w:rsidP="00B721E0">
      <w:pPr>
        <w:rPr>
          <w:rFonts w:eastAsia="Times New Roman" w:cs="Times New Roman"/>
          <w:noProof/>
          <w:sz w:val="20"/>
          <w:lang w:val="en-US"/>
        </w:rPr>
      </w:pPr>
    </w:p>
    <w:p w:rsidR="00B721E0" w:rsidRPr="00B721E0" w:rsidRDefault="00B721E0" w:rsidP="00B721E0">
      <w:pPr>
        <w:rPr>
          <w:rFonts w:eastAsia="Times New Roman" w:cs="Times New Roman"/>
          <w:noProof/>
          <w:sz w:val="20"/>
          <w:lang w:val="en-US"/>
        </w:rPr>
      </w:pPr>
      <w:r w:rsidRPr="00B721E0">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4C2DFE8D" wp14:editId="1B8B32FA">
                <wp:simplePos x="0" y="0"/>
                <wp:positionH relativeFrom="column">
                  <wp:posOffset>5029200</wp:posOffset>
                </wp:positionH>
                <wp:positionV relativeFrom="paragraph">
                  <wp:posOffset>-683895</wp:posOffset>
                </wp:positionV>
                <wp:extent cx="1143000" cy="1485900"/>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BA7" w:rsidRDefault="00684BA7" w:rsidP="00B721E0">
                            <w:r>
                              <w:rPr>
                                <w:noProof/>
                                <w:lang w:eastAsia="en-GB"/>
                              </w:rPr>
                              <w:drawing>
                                <wp:inline distT="0" distB="0" distL="0" distR="0" wp14:anchorId="1191C031" wp14:editId="1F86CBA7">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WKgwIAABA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OLc&#10;1YqDAgAAEAUAAA4AAAAAAAAAAAAAAAAALgIAAGRycy9lMm9Eb2MueG1sUEsBAi0AFAAGAAgAAAAh&#10;ADyQsFPfAAAADAEAAA8AAAAAAAAAAAAAAAAA3QQAAGRycy9kb3ducmV2LnhtbFBLBQYAAAAABAAE&#10;APMAAADpBQAAAAA=&#10;" stroked="f">
                <v:textbox>
                  <w:txbxContent>
                    <w:p w:rsidR="00684BA7" w:rsidRDefault="00684BA7" w:rsidP="00B721E0">
                      <w:r>
                        <w:rPr>
                          <w:noProof/>
                          <w:lang w:eastAsia="en-GB"/>
                        </w:rPr>
                        <w:drawing>
                          <wp:inline distT="0" distB="0" distL="0" distR="0" wp14:anchorId="1191C031" wp14:editId="1F86CBA7">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721E0" w:rsidRPr="00B721E0" w:rsidRDefault="00B721E0" w:rsidP="00B721E0">
      <w:pPr>
        <w:jc w:val="right"/>
        <w:rPr>
          <w:rFonts w:eastAsia="Times New Roman" w:cs="Times New Roman"/>
          <w:b/>
          <w:bCs/>
        </w:rPr>
      </w:pPr>
    </w:p>
    <w:p w:rsidR="00B721E0" w:rsidRPr="00B721E0" w:rsidRDefault="00B721E0" w:rsidP="00B721E0">
      <w:pPr>
        <w:rPr>
          <w:rFonts w:eastAsia="Times New Roman" w:cs="Times New Roman"/>
          <w:b/>
          <w:bCs/>
        </w:rPr>
      </w:pPr>
    </w:p>
    <w:p w:rsidR="00B721E0" w:rsidRPr="00B721E0" w:rsidRDefault="00B721E0" w:rsidP="00B721E0">
      <w:pPr>
        <w:tabs>
          <w:tab w:val="left" w:pos="2160"/>
        </w:tabs>
        <w:rPr>
          <w:rFonts w:eastAsia="Times New Roman"/>
          <w:b/>
          <w:bCs/>
        </w:rPr>
      </w:pPr>
      <w:r w:rsidRPr="00B721E0">
        <w:rPr>
          <w:rFonts w:eastAsia="Times New Roman"/>
          <w:b/>
          <w:bCs/>
        </w:rPr>
        <w:t xml:space="preserve">To: </w:t>
      </w:r>
      <w:r w:rsidRPr="00B721E0">
        <w:rPr>
          <w:rFonts w:eastAsia="Times New Roman"/>
          <w:b/>
          <w:bCs/>
        </w:rPr>
        <w:tab/>
        <w:t>City Executive Board</w:t>
      </w:r>
      <w:r w:rsidRPr="00B721E0">
        <w:rPr>
          <w:rFonts w:eastAsia="Times New Roman"/>
          <w:b/>
          <w:bCs/>
        </w:rPr>
        <w:tab/>
      </w:r>
    </w:p>
    <w:p w:rsidR="00B721E0" w:rsidRPr="00B721E0" w:rsidRDefault="00B721E0" w:rsidP="00B721E0">
      <w:pPr>
        <w:rPr>
          <w:rFonts w:eastAsia="Times New Roman"/>
          <w:b/>
          <w:bCs/>
        </w:rPr>
      </w:pPr>
    </w:p>
    <w:p w:rsidR="00B721E0" w:rsidRPr="00B721E0" w:rsidRDefault="00B721E0" w:rsidP="00B721E0">
      <w:pPr>
        <w:tabs>
          <w:tab w:val="left" w:pos="2160"/>
          <w:tab w:val="left" w:pos="6300"/>
          <w:tab w:val="left" w:pos="7380"/>
        </w:tabs>
        <w:rPr>
          <w:rFonts w:eastAsia="Times New Roman"/>
          <w:b/>
          <w:bCs/>
        </w:rPr>
      </w:pPr>
      <w:r w:rsidRPr="00B721E0">
        <w:rPr>
          <w:rFonts w:eastAsia="Times New Roman"/>
          <w:b/>
          <w:bCs/>
        </w:rPr>
        <w:t>Date:</w:t>
      </w:r>
      <w:r w:rsidRPr="00B721E0">
        <w:rPr>
          <w:rFonts w:eastAsia="Times New Roman"/>
          <w:b/>
          <w:bCs/>
        </w:rPr>
        <w:tab/>
      </w:r>
      <w:r w:rsidR="00B622A4">
        <w:rPr>
          <w:rFonts w:eastAsia="Times New Roman"/>
          <w:b/>
          <w:bCs/>
        </w:rPr>
        <w:t>11</w:t>
      </w:r>
      <w:r w:rsidRPr="00B721E0">
        <w:rPr>
          <w:rFonts w:eastAsia="Times New Roman"/>
          <w:b/>
          <w:bCs/>
          <w:vertAlign w:val="superscript"/>
        </w:rPr>
        <w:t>th</w:t>
      </w:r>
      <w:r w:rsidR="00B622A4">
        <w:rPr>
          <w:rFonts w:eastAsia="Times New Roman"/>
          <w:b/>
          <w:bCs/>
        </w:rPr>
        <w:t xml:space="preserve"> Dec</w:t>
      </w:r>
      <w:r w:rsidRPr="00B721E0">
        <w:rPr>
          <w:rFonts w:eastAsia="Times New Roman"/>
          <w:b/>
          <w:bCs/>
        </w:rPr>
        <w:t>ember 2013</w:t>
      </w:r>
    </w:p>
    <w:p w:rsidR="00B721E0" w:rsidRPr="00B721E0" w:rsidRDefault="00B721E0" w:rsidP="00B721E0">
      <w:pPr>
        <w:jc w:val="right"/>
        <w:rPr>
          <w:rFonts w:eastAsia="Times New Roman"/>
          <w:b/>
          <w:bCs/>
        </w:rPr>
      </w:pPr>
    </w:p>
    <w:p w:rsidR="00B721E0" w:rsidRPr="00B721E0" w:rsidRDefault="00B721E0" w:rsidP="00B721E0">
      <w:pPr>
        <w:rPr>
          <w:rFonts w:eastAsia="Times New Roman"/>
          <w:b/>
          <w:bCs/>
        </w:rPr>
      </w:pPr>
      <w:r w:rsidRPr="00B721E0">
        <w:rPr>
          <w:rFonts w:eastAsia="Times New Roman"/>
          <w:b/>
          <w:bCs/>
        </w:rPr>
        <w:t>Report of:</w:t>
      </w:r>
      <w:r w:rsidRPr="00B721E0">
        <w:rPr>
          <w:rFonts w:eastAsia="Times New Roman"/>
          <w:b/>
          <w:bCs/>
        </w:rPr>
        <w:tab/>
      </w:r>
      <w:r w:rsidRPr="00B721E0">
        <w:rPr>
          <w:rFonts w:eastAsia="Times New Roman"/>
          <w:b/>
          <w:bCs/>
        </w:rPr>
        <w:tab/>
        <w:t>Head of HR &amp; Facilities</w:t>
      </w:r>
    </w:p>
    <w:p w:rsidR="00B721E0" w:rsidRPr="00B721E0" w:rsidRDefault="00B721E0" w:rsidP="00B721E0">
      <w:pPr>
        <w:tabs>
          <w:tab w:val="left" w:pos="2160"/>
        </w:tabs>
        <w:rPr>
          <w:rFonts w:eastAsia="Times New Roman"/>
          <w:b/>
          <w:bCs/>
        </w:rPr>
      </w:pPr>
    </w:p>
    <w:p w:rsidR="00B721E0" w:rsidRPr="00B721E0" w:rsidRDefault="00B721E0" w:rsidP="00B721E0">
      <w:pPr>
        <w:tabs>
          <w:tab w:val="left" w:pos="2160"/>
        </w:tabs>
        <w:rPr>
          <w:rFonts w:eastAsia="Times New Roman"/>
          <w:b/>
          <w:bCs/>
        </w:rPr>
      </w:pPr>
      <w:r w:rsidRPr="00B721E0">
        <w:rPr>
          <w:rFonts w:eastAsia="Times New Roman"/>
          <w:b/>
          <w:bCs/>
        </w:rPr>
        <w:t xml:space="preserve">Title of Report: </w:t>
      </w:r>
      <w:r w:rsidRPr="00B721E0">
        <w:rPr>
          <w:rFonts w:eastAsia="Times New Roman"/>
          <w:b/>
          <w:bCs/>
        </w:rPr>
        <w:tab/>
      </w:r>
      <w:r w:rsidR="00322C24">
        <w:rPr>
          <w:rFonts w:eastAsia="Times New Roman"/>
          <w:b/>
          <w:bCs/>
        </w:rPr>
        <w:t>OXFORD LIVING WAGE INDEXATION</w:t>
      </w:r>
    </w:p>
    <w:p w:rsidR="00B721E0" w:rsidRPr="00B721E0" w:rsidRDefault="00B721E0" w:rsidP="00B721E0">
      <w:pPr>
        <w:rPr>
          <w:rFonts w:eastAsia="Times New Roman"/>
        </w:rPr>
      </w:pPr>
    </w:p>
    <w:p w:rsidR="00B721E0" w:rsidRPr="00B721E0" w:rsidRDefault="00B721E0" w:rsidP="00B721E0">
      <w:pPr>
        <w:keepNext/>
        <w:pBdr>
          <w:top w:val="single" w:sz="4" w:space="1" w:color="auto"/>
          <w:left w:val="single" w:sz="4" w:space="4" w:color="auto"/>
          <w:bottom w:val="single" w:sz="4" w:space="0" w:color="auto"/>
          <w:right w:val="single" w:sz="4" w:space="4" w:color="auto"/>
        </w:pBdr>
        <w:jc w:val="center"/>
        <w:outlineLvl w:val="0"/>
        <w:rPr>
          <w:rFonts w:eastAsia="Times New Roman" w:cs="Times New Roman"/>
          <w:b/>
          <w:bCs/>
          <w:u w:val="single"/>
        </w:rPr>
      </w:pPr>
    </w:p>
    <w:p w:rsidR="00B721E0" w:rsidRPr="00B721E0" w:rsidRDefault="00B721E0" w:rsidP="00B721E0">
      <w:pPr>
        <w:keepNext/>
        <w:pBdr>
          <w:top w:val="single" w:sz="4" w:space="1" w:color="auto"/>
          <w:left w:val="single" w:sz="4" w:space="4" w:color="auto"/>
          <w:bottom w:val="single" w:sz="4" w:space="0" w:color="auto"/>
          <w:right w:val="single" w:sz="4" w:space="4" w:color="auto"/>
        </w:pBdr>
        <w:jc w:val="center"/>
        <w:outlineLvl w:val="0"/>
        <w:rPr>
          <w:rFonts w:eastAsia="Times New Roman" w:cs="Times New Roman"/>
          <w:b/>
          <w:bCs/>
          <w:u w:val="single"/>
        </w:rPr>
      </w:pPr>
      <w:r w:rsidRPr="00B721E0">
        <w:rPr>
          <w:rFonts w:eastAsia="Times New Roman" w:cs="Times New Roman"/>
          <w:b/>
          <w:bCs/>
          <w:u w:val="single"/>
        </w:rPr>
        <w:t>Summary and Recommendations</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r w:rsidRPr="00B721E0">
        <w:rPr>
          <w:rFonts w:eastAsia="Times New Roman"/>
          <w:b/>
          <w:bCs/>
        </w:rPr>
        <w:t>Purpose of report</w:t>
      </w:r>
      <w:r w:rsidRPr="00B721E0">
        <w:rPr>
          <w:rFonts w:eastAsia="Times New Roman"/>
        </w:rPr>
        <w:t xml:space="preserve">:  </w:t>
      </w:r>
      <w:r w:rsidRPr="00B721E0">
        <w:rPr>
          <w:rFonts w:eastAsia="Times New Roman"/>
          <w:sz w:val="22"/>
          <w:szCs w:val="22"/>
        </w:rPr>
        <w:t xml:space="preserve">To present a </w:t>
      </w:r>
      <w:r w:rsidR="006D49CC">
        <w:rPr>
          <w:rFonts w:eastAsia="Times New Roman"/>
          <w:sz w:val="22"/>
          <w:szCs w:val="22"/>
        </w:rPr>
        <w:t>method for reviewing the rate of the Oxford Living Wage, and uplifting it accordingly</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p>
    <w:p w:rsidR="00B721E0" w:rsidRPr="00B721E0" w:rsidRDefault="00B721E0" w:rsidP="00B721E0">
      <w:pPr>
        <w:keepNext/>
        <w:pBdr>
          <w:top w:val="single" w:sz="4" w:space="1" w:color="auto"/>
          <w:left w:val="single" w:sz="4" w:space="4" w:color="auto"/>
          <w:bottom w:val="single" w:sz="4" w:space="0" w:color="auto"/>
          <w:right w:val="single" w:sz="4" w:space="4" w:color="auto"/>
        </w:pBdr>
        <w:tabs>
          <w:tab w:val="left" w:pos="3062"/>
        </w:tabs>
        <w:outlineLvl w:val="0"/>
        <w:rPr>
          <w:rFonts w:eastAsia="Times New Roman" w:cs="Times New Roman"/>
        </w:rPr>
      </w:pPr>
      <w:r w:rsidRPr="00B721E0">
        <w:rPr>
          <w:rFonts w:eastAsia="Times New Roman" w:cs="Times New Roman"/>
          <w:b/>
        </w:rPr>
        <w:t xml:space="preserve">Key decision? </w:t>
      </w:r>
      <w:r w:rsidRPr="00B721E0">
        <w:rPr>
          <w:rFonts w:eastAsia="Times New Roman" w:cs="Times New Roman"/>
        </w:rPr>
        <w:t>No</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bCs/>
          <w:sz w:val="22"/>
          <w:szCs w:val="22"/>
        </w:rPr>
      </w:pPr>
      <w:r w:rsidRPr="00B721E0">
        <w:rPr>
          <w:rFonts w:eastAsia="Times New Roman"/>
          <w:b/>
          <w:bCs/>
        </w:rPr>
        <w:t xml:space="preserve">Executive lead member: </w:t>
      </w:r>
      <w:r w:rsidRPr="00B721E0">
        <w:rPr>
          <w:rFonts w:eastAsia="Times New Roman"/>
          <w:bCs/>
          <w:sz w:val="22"/>
          <w:szCs w:val="22"/>
        </w:rPr>
        <w:t>Councillor Bob Price</w:t>
      </w:r>
    </w:p>
    <w:p w:rsidR="00B721E0" w:rsidRPr="00B721E0" w:rsidRDefault="00B721E0" w:rsidP="00B721E0">
      <w:pPr>
        <w:keepNext/>
        <w:pBdr>
          <w:top w:val="single" w:sz="4" w:space="1" w:color="auto"/>
          <w:left w:val="single" w:sz="4" w:space="4" w:color="auto"/>
          <w:bottom w:val="single" w:sz="4" w:space="0" w:color="auto"/>
          <w:right w:val="single" w:sz="4" w:space="4" w:color="auto"/>
        </w:pBdr>
        <w:outlineLvl w:val="0"/>
        <w:rPr>
          <w:rFonts w:eastAsia="Times New Roman" w:cs="Times New Roman"/>
          <w:b/>
          <w:bCs/>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bCs/>
          <w:sz w:val="22"/>
          <w:szCs w:val="22"/>
        </w:rPr>
      </w:pPr>
      <w:r w:rsidRPr="00B721E0">
        <w:rPr>
          <w:rFonts w:eastAsia="Times New Roman"/>
          <w:b/>
          <w:bCs/>
        </w:rPr>
        <w:t xml:space="preserve">Policy Framework: </w:t>
      </w:r>
      <w:r w:rsidRPr="00B721E0">
        <w:rPr>
          <w:rFonts w:eastAsia="Times New Roman"/>
          <w:bCs/>
          <w:sz w:val="22"/>
          <w:szCs w:val="22"/>
        </w:rPr>
        <w:t>Efficient &amp; Effective Council</w:t>
      </w:r>
    </w:p>
    <w:p w:rsidR="00B721E0" w:rsidRPr="00B721E0" w:rsidRDefault="00B721E0" w:rsidP="00B721E0">
      <w:pPr>
        <w:keepNext/>
        <w:pBdr>
          <w:top w:val="single" w:sz="4" w:space="1" w:color="auto"/>
          <w:left w:val="single" w:sz="4" w:space="4" w:color="auto"/>
          <w:bottom w:val="single" w:sz="4" w:space="0" w:color="auto"/>
          <w:right w:val="single" w:sz="4" w:space="4" w:color="auto"/>
        </w:pBdr>
        <w:outlineLvl w:val="0"/>
        <w:rPr>
          <w:rFonts w:eastAsia="Times New Roman" w:cs="Times New Roman"/>
          <w:b/>
          <w:bCs/>
        </w:rPr>
      </w:pP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b/>
        </w:rPr>
      </w:pPr>
      <w:r w:rsidRPr="00B721E0">
        <w:rPr>
          <w:rFonts w:eastAsia="Times New Roman"/>
          <w:b/>
        </w:rPr>
        <w:t xml:space="preserve">Recommendation(s): </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sidRPr="00B721E0">
        <w:rPr>
          <w:rFonts w:eastAsia="Times New Roman"/>
          <w:sz w:val="22"/>
          <w:szCs w:val="22"/>
        </w:rPr>
        <w:t>That the City Executive Board:</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p>
    <w:p w:rsidR="00B721E0" w:rsidRDefault="006D49CC" w:rsidP="006D49CC">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Pr>
          <w:rFonts w:eastAsia="Times New Roman"/>
          <w:sz w:val="22"/>
          <w:szCs w:val="22"/>
        </w:rPr>
        <w:t xml:space="preserve">1) </w:t>
      </w:r>
      <w:r w:rsidR="00FD2122">
        <w:rPr>
          <w:rFonts w:eastAsia="Times New Roman"/>
          <w:sz w:val="22"/>
          <w:szCs w:val="22"/>
        </w:rPr>
        <w:t xml:space="preserve">Agree </w:t>
      </w:r>
      <w:r w:rsidR="00924D0B">
        <w:rPr>
          <w:rFonts w:eastAsia="Times New Roman"/>
          <w:sz w:val="22"/>
          <w:szCs w:val="22"/>
        </w:rPr>
        <w:t xml:space="preserve">option 3 (as set out in this report) as </w:t>
      </w:r>
      <w:r w:rsidR="00FD2122">
        <w:rPr>
          <w:rFonts w:eastAsia="Times New Roman"/>
          <w:sz w:val="22"/>
          <w:szCs w:val="22"/>
        </w:rPr>
        <w:t>the basis for determining any incr</w:t>
      </w:r>
      <w:r w:rsidR="00924D0B">
        <w:rPr>
          <w:rFonts w:eastAsia="Times New Roman"/>
          <w:sz w:val="22"/>
          <w:szCs w:val="22"/>
        </w:rPr>
        <w:t>ease for the Oxford Living Wage</w:t>
      </w:r>
    </w:p>
    <w:p w:rsidR="00924D0B" w:rsidRPr="00B721E0" w:rsidRDefault="00924D0B" w:rsidP="006D49CC">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Pr>
          <w:rFonts w:eastAsia="Times New Roman"/>
          <w:sz w:val="22"/>
          <w:szCs w:val="22"/>
        </w:rPr>
        <w:t>2) Apply any changes in the Oxford Living Wage in April each year following notification of changes to the London Living Wage in the previous November.</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p>
    <w:p w:rsidR="00B721E0" w:rsidRPr="00B721E0" w:rsidRDefault="00B721E0" w:rsidP="00B721E0">
      <w:pPr>
        <w:rPr>
          <w:rFonts w:eastAsia="Times New Roman"/>
        </w:rPr>
      </w:pPr>
    </w:p>
    <w:p w:rsidR="00B721E0" w:rsidRPr="00B721E0" w:rsidRDefault="00B721E0" w:rsidP="00B721E0">
      <w:pPr>
        <w:rPr>
          <w:rFonts w:eastAsia="Times New Roman"/>
          <w:b/>
        </w:rPr>
      </w:pPr>
      <w:r w:rsidRPr="00B721E0">
        <w:rPr>
          <w:rFonts w:eastAsia="Times New Roman"/>
          <w:b/>
        </w:rPr>
        <w:t>Appendices to report:</w:t>
      </w:r>
    </w:p>
    <w:p w:rsidR="00B721E0" w:rsidRPr="00B721E0" w:rsidRDefault="00B721E0" w:rsidP="00B721E0">
      <w:pPr>
        <w:rPr>
          <w:rFonts w:eastAsia="Times New Roman"/>
          <w:sz w:val="22"/>
          <w:szCs w:val="22"/>
        </w:rPr>
      </w:pPr>
    </w:p>
    <w:p w:rsidR="00B721E0" w:rsidRDefault="00B721E0" w:rsidP="006A2BF8">
      <w:pPr>
        <w:rPr>
          <w:rFonts w:eastAsia="Times New Roman"/>
          <w:sz w:val="22"/>
          <w:szCs w:val="22"/>
        </w:rPr>
      </w:pPr>
      <w:r w:rsidRPr="00B721E0">
        <w:rPr>
          <w:rFonts w:eastAsia="Times New Roman"/>
          <w:sz w:val="22"/>
          <w:szCs w:val="22"/>
        </w:rPr>
        <w:t xml:space="preserve">Appendix 1: </w:t>
      </w:r>
      <w:r w:rsidR="003140B3">
        <w:rPr>
          <w:rFonts w:eastAsia="Times New Roman"/>
          <w:sz w:val="22"/>
          <w:szCs w:val="22"/>
        </w:rPr>
        <w:t>Calculating the Living Wage</w:t>
      </w:r>
    </w:p>
    <w:p w:rsidR="003140B3" w:rsidRDefault="003140B3" w:rsidP="006A2BF8">
      <w:pPr>
        <w:rPr>
          <w:rFonts w:eastAsia="Times New Roman"/>
          <w:sz w:val="22"/>
          <w:szCs w:val="22"/>
        </w:rPr>
      </w:pPr>
      <w:r>
        <w:rPr>
          <w:rFonts w:eastAsia="Times New Roman"/>
          <w:sz w:val="22"/>
          <w:szCs w:val="22"/>
        </w:rPr>
        <w:t>Appendix 2: Risk Register</w:t>
      </w:r>
    </w:p>
    <w:p w:rsidR="003140B3" w:rsidRPr="00B721E0" w:rsidRDefault="003140B3" w:rsidP="006A2BF8">
      <w:pPr>
        <w:rPr>
          <w:rFonts w:eastAsia="Times New Roman"/>
          <w:sz w:val="22"/>
          <w:szCs w:val="22"/>
        </w:rPr>
      </w:pPr>
      <w:r>
        <w:rPr>
          <w:rFonts w:eastAsia="Times New Roman"/>
          <w:sz w:val="22"/>
          <w:szCs w:val="22"/>
        </w:rPr>
        <w:t xml:space="preserve">Appendix 3: Equalities Impact </w:t>
      </w:r>
      <w:r w:rsidR="00E96EA3">
        <w:rPr>
          <w:rFonts w:eastAsia="Times New Roman"/>
          <w:sz w:val="22"/>
          <w:szCs w:val="22"/>
        </w:rPr>
        <w:t>Assessment</w:t>
      </w:r>
    </w:p>
    <w:p w:rsidR="00B721E0" w:rsidRDefault="00B721E0" w:rsidP="00B721E0">
      <w:pPr>
        <w:tabs>
          <w:tab w:val="left" w:pos="2160"/>
        </w:tabs>
        <w:rPr>
          <w:rFonts w:eastAsia="Times New Roman"/>
          <w:b/>
          <w:bCs/>
        </w:rPr>
      </w:pPr>
    </w:p>
    <w:p w:rsidR="00322C24" w:rsidRPr="00B721E0" w:rsidRDefault="00322C24" w:rsidP="00B721E0">
      <w:pPr>
        <w:tabs>
          <w:tab w:val="left" w:pos="2160"/>
        </w:tabs>
        <w:rPr>
          <w:rFonts w:eastAsia="Times New Roman"/>
          <w:b/>
          <w:bCs/>
        </w:rPr>
      </w:pPr>
    </w:p>
    <w:p w:rsidR="00B721E0" w:rsidRPr="00924D0B" w:rsidRDefault="00322C24" w:rsidP="00B721E0">
      <w:pPr>
        <w:tabs>
          <w:tab w:val="left" w:pos="709"/>
          <w:tab w:val="left" w:pos="2160"/>
        </w:tabs>
        <w:rPr>
          <w:rFonts w:eastAsia="Times New Roman"/>
          <w:b/>
          <w:sz w:val="22"/>
          <w:szCs w:val="22"/>
        </w:rPr>
      </w:pPr>
      <w:r>
        <w:rPr>
          <w:rFonts w:eastAsia="Times New Roman"/>
          <w:b/>
          <w:sz w:val="22"/>
          <w:szCs w:val="22"/>
        </w:rPr>
        <w:t>I</w:t>
      </w:r>
      <w:r w:rsidR="00B721E0" w:rsidRPr="00924D0B">
        <w:rPr>
          <w:rFonts w:eastAsia="Times New Roman"/>
          <w:b/>
          <w:sz w:val="22"/>
          <w:szCs w:val="22"/>
        </w:rPr>
        <w:t>ntroduction</w:t>
      </w:r>
      <w:r w:rsidR="00B721E0" w:rsidRPr="00924D0B">
        <w:rPr>
          <w:rFonts w:eastAsia="Times New Roman"/>
          <w:b/>
          <w:sz w:val="22"/>
          <w:szCs w:val="22"/>
        </w:rPr>
        <w:tab/>
      </w:r>
    </w:p>
    <w:p w:rsidR="00B721E0" w:rsidRPr="00924D0B" w:rsidRDefault="00B721E0" w:rsidP="00B721E0">
      <w:pPr>
        <w:rPr>
          <w:rFonts w:eastAsia="Times New Roman"/>
          <w:b/>
          <w:sz w:val="22"/>
          <w:szCs w:val="22"/>
        </w:rPr>
      </w:pPr>
    </w:p>
    <w:p w:rsidR="006D49CC" w:rsidRPr="00924D0B" w:rsidRDefault="006D49CC" w:rsidP="006D49CC">
      <w:pPr>
        <w:pStyle w:val="ListParagraph"/>
        <w:numPr>
          <w:ilvl w:val="0"/>
          <w:numId w:val="16"/>
        </w:numPr>
        <w:rPr>
          <w:rFonts w:eastAsia="Times New Roman"/>
          <w:sz w:val="22"/>
          <w:szCs w:val="22"/>
        </w:rPr>
      </w:pPr>
      <w:r w:rsidRPr="00924D0B">
        <w:rPr>
          <w:rFonts w:eastAsia="Times New Roman"/>
          <w:sz w:val="22"/>
          <w:szCs w:val="22"/>
        </w:rPr>
        <w:t>Currently, there is no agreed mechanism for uplifting the Oxford Living Wage, to take account of increases in the cost of living, etc. This paper sets out a proposal to introduce one</w:t>
      </w:r>
      <w:r w:rsidR="00924D0B">
        <w:rPr>
          <w:rFonts w:eastAsia="Times New Roman"/>
          <w:sz w:val="22"/>
          <w:szCs w:val="22"/>
        </w:rPr>
        <w:t>.</w:t>
      </w:r>
    </w:p>
    <w:p w:rsidR="006D49CC" w:rsidRPr="00924D0B" w:rsidRDefault="006D49CC" w:rsidP="006D49CC">
      <w:pPr>
        <w:rPr>
          <w:rFonts w:eastAsia="Times New Roman"/>
          <w:sz w:val="22"/>
          <w:szCs w:val="22"/>
        </w:rPr>
      </w:pPr>
    </w:p>
    <w:p w:rsidR="006D49CC" w:rsidRPr="00924D0B" w:rsidRDefault="006D49CC" w:rsidP="006D49CC">
      <w:pPr>
        <w:rPr>
          <w:rFonts w:eastAsia="Times New Roman"/>
          <w:b/>
          <w:sz w:val="22"/>
          <w:szCs w:val="22"/>
        </w:rPr>
      </w:pPr>
      <w:r w:rsidRPr="00924D0B">
        <w:rPr>
          <w:rFonts w:eastAsia="Times New Roman"/>
          <w:b/>
          <w:sz w:val="22"/>
          <w:szCs w:val="22"/>
        </w:rPr>
        <w:t>Background</w:t>
      </w:r>
    </w:p>
    <w:p w:rsidR="006D49CC" w:rsidRPr="00924D0B" w:rsidRDefault="006D49CC" w:rsidP="006D49CC">
      <w:pPr>
        <w:pStyle w:val="ListParagraph"/>
        <w:ind w:left="1080"/>
        <w:rPr>
          <w:rFonts w:eastAsia="Times New Roman"/>
          <w:sz w:val="22"/>
          <w:szCs w:val="22"/>
        </w:rPr>
      </w:pPr>
    </w:p>
    <w:p w:rsidR="006D49CC" w:rsidRPr="00924D0B" w:rsidRDefault="006D49CC" w:rsidP="006D49CC">
      <w:pPr>
        <w:pStyle w:val="ListParagraph"/>
        <w:numPr>
          <w:ilvl w:val="0"/>
          <w:numId w:val="16"/>
        </w:numPr>
        <w:rPr>
          <w:rFonts w:eastAsia="Times New Roman"/>
          <w:sz w:val="22"/>
          <w:szCs w:val="22"/>
        </w:rPr>
      </w:pPr>
      <w:r w:rsidRPr="00924D0B">
        <w:rPr>
          <w:rFonts w:eastAsia="Times New Roman"/>
          <w:sz w:val="22"/>
          <w:szCs w:val="22"/>
        </w:rPr>
        <w:t>The Council introduced the Oxford Living Wage in 2009</w:t>
      </w:r>
      <w:r w:rsidR="00FA5DB5" w:rsidRPr="00924D0B">
        <w:rPr>
          <w:rFonts w:eastAsia="Times New Roman"/>
          <w:sz w:val="22"/>
          <w:szCs w:val="22"/>
        </w:rPr>
        <w:t xml:space="preserve"> following a Motion to Council </w:t>
      </w:r>
      <w:r w:rsidR="004F3CE2" w:rsidRPr="00924D0B">
        <w:rPr>
          <w:rFonts w:eastAsia="Times New Roman"/>
          <w:sz w:val="22"/>
          <w:szCs w:val="22"/>
        </w:rPr>
        <w:t>in response to</w:t>
      </w:r>
      <w:r w:rsidR="00FA5DB5" w:rsidRPr="00924D0B">
        <w:rPr>
          <w:rFonts w:eastAsia="Times New Roman"/>
          <w:sz w:val="22"/>
          <w:szCs w:val="22"/>
        </w:rPr>
        <w:t xml:space="preserve"> concerns regarding how expensive it is to live and work in the City. </w:t>
      </w:r>
      <w:r w:rsidR="00924D0B">
        <w:rPr>
          <w:rFonts w:eastAsia="Times New Roman"/>
          <w:sz w:val="22"/>
          <w:szCs w:val="22"/>
        </w:rPr>
        <w:t xml:space="preserve"> Originally the Oxford Living Wage </w:t>
      </w:r>
      <w:r w:rsidRPr="00924D0B">
        <w:rPr>
          <w:rFonts w:eastAsia="Times New Roman"/>
          <w:sz w:val="22"/>
          <w:szCs w:val="22"/>
        </w:rPr>
        <w:t>was set at £7.01 per hour. An initial increase was applied to mirror the change in national pay scales in April 2009 (</w:t>
      </w:r>
      <w:r w:rsidR="00924D0B">
        <w:rPr>
          <w:rFonts w:eastAsia="Times New Roman"/>
          <w:sz w:val="22"/>
          <w:szCs w:val="22"/>
        </w:rPr>
        <w:t xml:space="preserve">to </w:t>
      </w:r>
      <w:r w:rsidRPr="00924D0B">
        <w:rPr>
          <w:rFonts w:eastAsia="Times New Roman"/>
          <w:sz w:val="22"/>
          <w:szCs w:val="22"/>
        </w:rPr>
        <w:t>£7.19 per hour). Further increases were applied as follows:</w:t>
      </w:r>
    </w:p>
    <w:p w:rsidR="006D49CC" w:rsidRPr="00924D0B" w:rsidRDefault="006D49CC" w:rsidP="006D49CC">
      <w:pPr>
        <w:rPr>
          <w:rFonts w:eastAsia="Times New Roman"/>
          <w:sz w:val="22"/>
          <w:szCs w:val="22"/>
        </w:rPr>
      </w:pPr>
    </w:p>
    <w:p w:rsidR="006D49CC" w:rsidRPr="00924D0B" w:rsidRDefault="006D49CC" w:rsidP="006D49CC">
      <w:pPr>
        <w:ind w:left="1080"/>
        <w:rPr>
          <w:rFonts w:eastAsia="Times New Roman"/>
          <w:sz w:val="22"/>
          <w:szCs w:val="22"/>
        </w:rPr>
      </w:pPr>
      <w:r w:rsidRPr="00924D0B">
        <w:rPr>
          <w:rFonts w:eastAsia="Times New Roman"/>
          <w:sz w:val="22"/>
          <w:szCs w:val="22"/>
        </w:rPr>
        <w:t>January 2012 - £8.01</w:t>
      </w:r>
    </w:p>
    <w:p w:rsidR="006D49CC" w:rsidRPr="00924D0B" w:rsidRDefault="006D49CC" w:rsidP="006D49CC">
      <w:pPr>
        <w:ind w:left="1080"/>
        <w:rPr>
          <w:rFonts w:eastAsia="Times New Roman"/>
          <w:sz w:val="22"/>
          <w:szCs w:val="22"/>
        </w:rPr>
      </w:pPr>
      <w:r w:rsidRPr="00924D0B">
        <w:rPr>
          <w:rFonts w:eastAsia="Times New Roman"/>
          <w:sz w:val="22"/>
          <w:szCs w:val="22"/>
        </w:rPr>
        <w:lastRenderedPageBreak/>
        <w:t>April 2013 - £8.13 (current rate)</w:t>
      </w:r>
    </w:p>
    <w:p w:rsidR="006D49CC" w:rsidRPr="00924D0B" w:rsidRDefault="006D49CC" w:rsidP="004F3CE2">
      <w:pPr>
        <w:rPr>
          <w:rFonts w:eastAsia="Times New Roman"/>
          <w:sz w:val="22"/>
          <w:szCs w:val="22"/>
        </w:rPr>
      </w:pPr>
    </w:p>
    <w:p w:rsidR="00FD2122" w:rsidRPr="00924D0B" w:rsidRDefault="00FD2122" w:rsidP="004F3CE2">
      <w:pPr>
        <w:pStyle w:val="ListParagraph"/>
        <w:numPr>
          <w:ilvl w:val="0"/>
          <w:numId w:val="16"/>
        </w:numPr>
        <w:rPr>
          <w:sz w:val="22"/>
          <w:szCs w:val="22"/>
        </w:rPr>
      </w:pPr>
      <w:r w:rsidRPr="00924D0B">
        <w:rPr>
          <w:sz w:val="22"/>
          <w:szCs w:val="22"/>
        </w:rPr>
        <w:t xml:space="preserve">All employees and agency workers </w:t>
      </w:r>
      <w:r w:rsidR="00C106EC">
        <w:rPr>
          <w:sz w:val="22"/>
          <w:szCs w:val="22"/>
        </w:rPr>
        <w:t xml:space="preserve">are paid </w:t>
      </w:r>
      <w:r w:rsidRPr="00924D0B">
        <w:rPr>
          <w:sz w:val="22"/>
          <w:szCs w:val="22"/>
        </w:rPr>
        <w:t>the Oxford Living Wage</w:t>
      </w:r>
      <w:r w:rsidR="00C106EC">
        <w:rPr>
          <w:sz w:val="22"/>
          <w:szCs w:val="22"/>
        </w:rPr>
        <w:t xml:space="preserve"> rate or the equivalent rate for the role if higher </w:t>
      </w:r>
      <w:r w:rsidRPr="00924D0B">
        <w:rPr>
          <w:sz w:val="22"/>
          <w:szCs w:val="22"/>
        </w:rPr>
        <w:t xml:space="preserve">. All </w:t>
      </w:r>
      <w:r w:rsidR="00C106EC">
        <w:rPr>
          <w:sz w:val="22"/>
          <w:szCs w:val="22"/>
        </w:rPr>
        <w:t>of the Council’s key suppliers and sub</w:t>
      </w:r>
      <w:r w:rsidR="002232F1">
        <w:rPr>
          <w:sz w:val="22"/>
          <w:szCs w:val="22"/>
        </w:rPr>
        <w:t>-</w:t>
      </w:r>
      <w:r w:rsidR="00C106EC">
        <w:rPr>
          <w:sz w:val="22"/>
          <w:szCs w:val="22"/>
        </w:rPr>
        <w:t xml:space="preserve"> contractors (where the contract relates to a construction project)</w:t>
      </w:r>
      <w:r w:rsidRPr="00924D0B">
        <w:rPr>
          <w:sz w:val="22"/>
          <w:szCs w:val="22"/>
        </w:rPr>
        <w:t xml:space="preserve"> are</w:t>
      </w:r>
      <w:r w:rsidR="00C106EC">
        <w:rPr>
          <w:sz w:val="22"/>
          <w:szCs w:val="22"/>
        </w:rPr>
        <w:t xml:space="preserve"> also</w:t>
      </w:r>
      <w:r w:rsidRPr="00924D0B">
        <w:rPr>
          <w:sz w:val="22"/>
          <w:szCs w:val="22"/>
        </w:rPr>
        <w:t xml:space="preserve"> required to pay their employees at least the Oxford Living Wage</w:t>
      </w:r>
      <w:r w:rsidR="00C106EC">
        <w:rPr>
          <w:sz w:val="22"/>
          <w:szCs w:val="22"/>
        </w:rPr>
        <w:t xml:space="preserve"> and this is set out within the contract terms</w:t>
      </w:r>
      <w:r w:rsidRPr="00924D0B">
        <w:rPr>
          <w:sz w:val="22"/>
          <w:szCs w:val="22"/>
        </w:rPr>
        <w:t xml:space="preserve">. The Council </w:t>
      </w:r>
      <w:r w:rsidR="00C106EC">
        <w:rPr>
          <w:sz w:val="22"/>
          <w:szCs w:val="22"/>
        </w:rPr>
        <w:t xml:space="preserve">also </w:t>
      </w:r>
      <w:r w:rsidRPr="00924D0B">
        <w:rPr>
          <w:sz w:val="22"/>
          <w:szCs w:val="22"/>
        </w:rPr>
        <w:t xml:space="preserve">encourages other city-based </w:t>
      </w:r>
      <w:r w:rsidR="00C106EC">
        <w:rPr>
          <w:sz w:val="22"/>
          <w:szCs w:val="22"/>
        </w:rPr>
        <w:t>b</w:t>
      </w:r>
      <w:r w:rsidR="002232F1">
        <w:rPr>
          <w:sz w:val="22"/>
          <w:szCs w:val="22"/>
        </w:rPr>
        <w:t>usinesses and Council suppliers</w:t>
      </w:r>
      <w:r w:rsidRPr="00924D0B">
        <w:rPr>
          <w:sz w:val="22"/>
          <w:szCs w:val="22"/>
        </w:rPr>
        <w:t xml:space="preserve"> to adopt a similar arrangement and it remains a committed Living Wage employer, having received national accreditation in 2012. </w:t>
      </w:r>
    </w:p>
    <w:p w:rsidR="00FD2122" w:rsidRPr="00924D0B" w:rsidRDefault="00FD2122" w:rsidP="00FD2122">
      <w:pPr>
        <w:pStyle w:val="ListParagraph"/>
        <w:ind w:left="1080"/>
        <w:rPr>
          <w:sz w:val="22"/>
          <w:szCs w:val="22"/>
        </w:rPr>
      </w:pPr>
    </w:p>
    <w:p w:rsidR="004F3CE2" w:rsidRPr="00924D0B" w:rsidRDefault="00FA5DB5" w:rsidP="004F3CE2">
      <w:pPr>
        <w:pStyle w:val="ListParagraph"/>
        <w:numPr>
          <w:ilvl w:val="0"/>
          <w:numId w:val="16"/>
        </w:numPr>
        <w:rPr>
          <w:sz w:val="22"/>
          <w:szCs w:val="22"/>
        </w:rPr>
      </w:pPr>
      <w:r w:rsidRPr="00924D0B">
        <w:rPr>
          <w:rFonts w:eastAsia="Times New Roman"/>
          <w:sz w:val="22"/>
          <w:szCs w:val="22"/>
        </w:rPr>
        <w:t xml:space="preserve">In terms of </w:t>
      </w:r>
      <w:r w:rsidR="004F3CE2" w:rsidRPr="00924D0B">
        <w:rPr>
          <w:rFonts w:eastAsia="Times New Roman"/>
          <w:sz w:val="22"/>
          <w:szCs w:val="22"/>
        </w:rPr>
        <w:t xml:space="preserve">the National Living Wage Campaign, </w:t>
      </w:r>
      <w:r w:rsidRPr="00924D0B">
        <w:rPr>
          <w:rFonts w:eastAsia="Times New Roman"/>
          <w:sz w:val="22"/>
          <w:szCs w:val="22"/>
        </w:rPr>
        <w:t>there</w:t>
      </w:r>
      <w:r w:rsidR="004F3CE2" w:rsidRPr="00924D0B">
        <w:rPr>
          <w:rFonts w:eastAsia="Times New Roman"/>
          <w:sz w:val="22"/>
          <w:szCs w:val="22"/>
        </w:rPr>
        <w:t xml:space="preserve"> </w:t>
      </w:r>
      <w:r w:rsidR="004F3CE2" w:rsidRPr="00924D0B">
        <w:rPr>
          <w:sz w:val="22"/>
          <w:szCs w:val="22"/>
        </w:rPr>
        <w:t>are 2 prescribed methodologies for Living Wage calculations (i.e</w:t>
      </w:r>
      <w:r w:rsidR="00586B28" w:rsidRPr="00924D0B">
        <w:rPr>
          <w:sz w:val="22"/>
          <w:szCs w:val="22"/>
        </w:rPr>
        <w:t>.</w:t>
      </w:r>
      <w:r w:rsidR="004F3CE2" w:rsidRPr="00924D0B">
        <w:rPr>
          <w:sz w:val="22"/>
          <w:szCs w:val="22"/>
        </w:rPr>
        <w:t xml:space="preserve"> the London Living Wage and the National Living Wage – see appendix 1</w:t>
      </w:r>
      <w:r w:rsidR="00924D0B">
        <w:rPr>
          <w:sz w:val="22"/>
          <w:szCs w:val="22"/>
        </w:rPr>
        <w:t xml:space="preserve"> for a summary</w:t>
      </w:r>
      <w:r w:rsidR="004F3CE2" w:rsidRPr="00924D0B">
        <w:rPr>
          <w:sz w:val="22"/>
          <w:szCs w:val="22"/>
        </w:rPr>
        <w:t>). The calculations are complex and</w:t>
      </w:r>
      <w:r w:rsidR="00586B28" w:rsidRPr="00924D0B">
        <w:rPr>
          <w:sz w:val="22"/>
          <w:szCs w:val="22"/>
        </w:rPr>
        <w:t xml:space="preserve"> are based on a variety of data sources and inputs.</w:t>
      </w:r>
    </w:p>
    <w:p w:rsidR="004F3CE2" w:rsidRPr="00924D0B" w:rsidRDefault="004F3CE2" w:rsidP="004F3CE2">
      <w:pPr>
        <w:pStyle w:val="ListParagraph"/>
        <w:ind w:left="1080"/>
        <w:rPr>
          <w:sz w:val="22"/>
          <w:szCs w:val="22"/>
        </w:rPr>
      </w:pPr>
    </w:p>
    <w:p w:rsidR="00FA5DB5" w:rsidRPr="00924D0B" w:rsidRDefault="004F3CE2" w:rsidP="00591708">
      <w:pPr>
        <w:pStyle w:val="ListParagraph"/>
        <w:numPr>
          <w:ilvl w:val="0"/>
          <w:numId w:val="16"/>
        </w:numPr>
        <w:rPr>
          <w:sz w:val="22"/>
          <w:szCs w:val="22"/>
        </w:rPr>
      </w:pPr>
      <w:r w:rsidRPr="00924D0B">
        <w:rPr>
          <w:sz w:val="22"/>
          <w:szCs w:val="22"/>
        </w:rPr>
        <w:t>For information, as part of the 2013 / 2018 pay agreement, attention was given to Oxford City Council lower paid staff meaning that with effect from 1 October 2013, no City Council employee</w:t>
      </w:r>
      <w:r w:rsidR="008E287B">
        <w:rPr>
          <w:sz w:val="22"/>
          <w:szCs w:val="22"/>
        </w:rPr>
        <w:t xml:space="preserve"> (apart from some previously agreed apprentices)</w:t>
      </w:r>
      <w:r w:rsidRPr="00924D0B">
        <w:rPr>
          <w:sz w:val="22"/>
          <w:szCs w:val="22"/>
        </w:rPr>
        <w:t xml:space="preserve"> or agency worker earns less than £8.85 per hour (the lowest spinal column point on the lowest grade, grade 3).</w:t>
      </w:r>
    </w:p>
    <w:p w:rsidR="00591708" w:rsidRPr="00924D0B" w:rsidRDefault="00591708" w:rsidP="00591708">
      <w:pPr>
        <w:jc w:val="center"/>
        <w:rPr>
          <w:sz w:val="22"/>
          <w:szCs w:val="22"/>
        </w:rPr>
      </w:pPr>
    </w:p>
    <w:p w:rsidR="00591708" w:rsidRPr="00924D0B" w:rsidRDefault="00FD2122" w:rsidP="00FD2122">
      <w:pPr>
        <w:rPr>
          <w:b/>
          <w:sz w:val="22"/>
          <w:szCs w:val="22"/>
        </w:rPr>
      </w:pPr>
      <w:r w:rsidRPr="00924D0B">
        <w:rPr>
          <w:b/>
          <w:sz w:val="22"/>
          <w:szCs w:val="22"/>
        </w:rPr>
        <w:t>Proposals</w:t>
      </w:r>
    </w:p>
    <w:p w:rsidR="00FD2122" w:rsidRPr="00924D0B" w:rsidRDefault="00FD2122" w:rsidP="00FD2122">
      <w:pPr>
        <w:rPr>
          <w:b/>
          <w:sz w:val="22"/>
          <w:szCs w:val="22"/>
        </w:rPr>
      </w:pPr>
    </w:p>
    <w:p w:rsidR="00FD2122" w:rsidRPr="00924D0B" w:rsidRDefault="00FD2122" w:rsidP="00FD2122">
      <w:pPr>
        <w:pStyle w:val="ListParagraph"/>
        <w:numPr>
          <w:ilvl w:val="0"/>
          <w:numId w:val="16"/>
        </w:numPr>
        <w:rPr>
          <w:sz w:val="22"/>
          <w:szCs w:val="22"/>
        </w:rPr>
      </w:pPr>
      <w:r w:rsidRPr="00924D0B">
        <w:rPr>
          <w:sz w:val="22"/>
          <w:szCs w:val="22"/>
        </w:rPr>
        <w:t>Like the National and London Living Wages, on-going payment of the Oxford Living Wage needs to take account of the passage of time and changes in the economy, such as increases in the cost of living. Options to do this are set out below:</w:t>
      </w:r>
    </w:p>
    <w:p w:rsidR="003140B3" w:rsidRPr="00924D0B" w:rsidRDefault="003140B3" w:rsidP="003140B3">
      <w:pPr>
        <w:pStyle w:val="ListParagraph"/>
        <w:ind w:left="1080"/>
        <w:rPr>
          <w:sz w:val="22"/>
          <w:szCs w:val="22"/>
        </w:rPr>
      </w:pPr>
    </w:p>
    <w:p w:rsidR="00591708" w:rsidRPr="00924D0B" w:rsidRDefault="00591708" w:rsidP="00924D0B">
      <w:pPr>
        <w:ind w:firstLine="360"/>
        <w:rPr>
          <w:b/>
          <w:sz w:val="22"/>
          <w:szCs w:val="22"/>
        </w:rPr>
      </w:pPr>
      <w:r w:rsidRPr="00924D0B">
        <w:rPr>
          <w:b/>
          <w:sz w:val="22"/>
          <w:szCs w:val="22"/>
        </w:rPr>
        <w:t>Option 1</w:t>
      </w: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vanish/>
          <w:sz w:val="22"/>
          <w:szCs w:val="22"/>
        </w:rPr>
      </w:pPr>
    </w:p>
    <w:p w:rsidR="003140B3" w:rsidRPr="00924D0B" w:rsidRDefault="003140B3" w:rsidP="003140B3">
      <w:pPr>
        <w:pStyle w:val="ListParagraph"/>
        <w:numPr>
          <w:ilvl w:val="0"/>
          <w:numId w:val="22"/>
        </w:numPr>
        <w:rPr>
          <w:sz w:val="22"/>
          <w:szCs w:val="22"/>
        </w:rPr>
      </w:pPr>
      <w:r w:rsidRPr="00924D0B">
        <w:rPr>
          <w:sz w:val="22"/>
          <w:szCs w:val="22"/>
        </w:rPr>
        <w:t>Apply the locally agreed cost of living relevant to Council pay to the Oxford Living Wage. However this only reflect</w:t>
      </w:r>
      <w:r w:rsidR="00924D0B">
        <w:rPr>
          <w:sz w:val="22"/>
          <w:szCs w:val="22"/>
        </w:rPr>
        <w:t>s</w:t>
      </w:r>
      <w:r w:rsidRPr="00924D0B">
        <w:rPr>
          <w:sz w:val="22"/>
          <w:szCs w:val="22"/>
        </w:rPr>
        <w:t xml:space="preserve"> what has been agreed for Council pay, and does not take into account the </w:t>
      </w:r>
      <w:r w:rsidR="00924D0B">
        <w:rPr>
          <w:sz w:val="22"/>
          <w:szCs w:val="22"/>
        </w:rPr>
        <w:t xml:space="preserve">range of dimensions used in the recognised </w:t>
      </w:r>
      <w:r w:rsidRPr="00924D0B">
        <w:rPr>
          <w:sz w:val="22"/>
          <w:szCs w:val="22"/>
        </w:rPr>
        <w:t xml:space="preserve">Living Wage calculations. </w:t>
      </w:r>
    </w:p>
    <w:p w:rsidR="00591708" w:rsidRPr="00924D0B" w:rsidRDefault="00591708" w:rsidP="00591708">
      <w:pPr>
        <w:rPr>
          <w:sz w:val="22"/>
          <w:szCs w:val="22"/>
        </w:rPr>
      </w:pPr>
    </w:p>
    <w:p w:rsidR="00591708" w:rsidRPr="00924D0B" w:rsidRDefault="00591708" w:rsidP="00924D0B">
      <w:pPr>
        <w:ind w:firstLine="360"/>
        <w:rPr>
          <w:b/>
          <w:sz w:val="22"/>
          <w:szCs w:val="22"/>
        </w:rPr>
      </w:pPr>
      <w:r w:rsidRPr="00924D0B">
        <w:rPr>
          <w:b/>
          <w:sz w:val="22"/>
          <w:szCs w:val="22"/>
        </w:rPr>
        <w:t>Option 2</w:t>
      </w:r>
    </w:p>
    <w:p w:rsidR="003140B3" w:rsidRPr="00924D0B" w:rsidRDefault="003140B3" w:rsidP="003140B3">
      <w:pPr>
        <w:pStyle w:val="ListParagraph"/>
        <w:numPr>
          <w:ilvl w:val="0"/>
          <w:numId w:val="22"/>
        </w:numPr>
        <w:rPr>
          <w:sz w:val="22"/>
          <w:szCs w:val="22"/>
        </w:rPr>
      </w:pPr>
      <w:r w:rsidRPr="00924D0B">
        <w:rPr>
          <w:sz w:val="22"/>
          <w:szCs w:val="22"/>
        </w:rPr>
        <w:t>The Council u</w:t>
      </w:r>
      <w:r w:rsidR="00591708" w:rsidRPr="00924D0B">
        <w:rPr>
          <w:sz w:val="22"/>
          <w:szCs w:val="22"/>
        </w:rPr>
        <w:t>ndertake</w:t>
      </w:r>
      <w:r w:rsidRPr="00924D0B">
        <w:rPr>
          <w:sz w:val="22"/>
          <w:szCs w:val="22"/>
        </w:rPr>
        <w:t>s</w:t>
      </w:r>
      <w:r w:rsidR="00591708" w:rsidRPr="00924D0B">
        <w:rPr>
          <w:sz w:val="22"/>
          <w:szCs w:val="22"/>
        </w:rPr>
        <w:t xml:space="preserve"> our own local economy-based calculations. This </w:t>
      </w:r>
      <w:r w:rsidRPr="00924D0B">
        <w:rPr>
          <w:sz w:val="22"/>
          <w:szCs w:val="22"/>
        </w:rPr>
        <w:t xml:space="preserve">would be based on the methodologies adopted by the National Living Wage and London Living Wage campaigns. Given the complexities this process </w:t>
      </w:r>
      <w:r w:rsidR="00591708" w:rsidRPr="00924D0B">
        <w:rPr>
          <w:sz w:val="22"/>
          <w:szCs w:val="22"/>
        </w:rPr>
        <w:t>will be resource-intensive a</w:t>
      </w:r>
      <w:r w:rsidRPr="00924D0B">
        <w:rPr>
          <w:sz w:val="22"/>
          <w:szCs w:val="22"/>
        </w:rPr>
        <w:t xml:space="preserve">nd require </w:t>
      </w:r>
      <w:r w:rsidR="00924D0B">
        <w:rPr>
          <w:sz w:val="22"/>
          <w:szCs w:val="22"/>
        </w:rPr>
        <w:t>in-</w:t>
      </w:r>
      <w:r w:rsidRPr="00924D0B">
        <w:rPr>
          <w:sz w:val="22"/>
          <w:szCs w:val="22"/>
        </w:rPr>
        <w:t>depth research and analysis of the local economy.</w:t>
      </w:r>
    </w:p>
    <w:p w:rsidR="003D40DB" w:rsidRDefault="00591708" w:rsidP="00322C24">
      <w:pPr>
        <w:pStyle w:val="ListParagraph"/>
        <w:ind w:left="1080"/>
        <w:rPr>
          <w:b/>
          <w:sz w:val="22"/>
          <w:szCs w:val="22"/>
        </w:rPr>
      </w:pPr>
      <w:r w:rsidRPr="00924D0B">
        <w:rPr>
          <w:sz w:val="22"/>
          <w:szCs w:val="22"/>
        </w:rPr>
        <w:t>.</w:t>
      </w:r>
    </w:p>
    <w:p w:rsidR="00591708" w:rsidRPr="00924D0B" w:rsidRDefault="00591708" w:rsidP="00924D0B">
      <w:pPr>
        <w:ind w:firstLine="360"/>
        <w:rPr>
          <w:b/>
          <w:sz w:val="22"/>
          <w:szCs w:val="22"/>
        </w:rPr>
      </w:pPr>
      <w:r w:rsidRPr="00924D0B">
        <w:rPr>
          <w:b/>
          <w:sz w:val="22"/>
          <w:szCs w:val="22"/>
        </w:rPr>
        <w:t>Option 3 (recommended)</w:t>
      </w:r>
    </w:p>
    <w:p w:rsidR="003140B3" w:rsidRPr="00924D0B" w:rsidRDefault="00591708" w:rsidP="003140B3">
      <w:pPr>
        <w:pStyle w:val="ListParagraph"/>
        <w:numPr>
          <w:ilvl w:val="0"/>
          <w:numId w:val="22"/>
        </w:numPr>
        <w:rPr>
          <w:sz w:val="22"/>
          <w:szCs w:val="22"/>
        </w:rPr>
      </w:pPr>
      <w:r w:rsidRPr="00924D0B">
        <w:rPr>
          <w:sz w:val="22"/>
          <w:szCs w:val="22"/>
        </w:rPr>
        <w:t xml:space="preserve">Given the drawbacks with the first two options, it is proposed to introduce </w:t>
      </w:r>
      <w:r w:rsidR="00924D0B">
        <w:rPr>
          <w:sz w:val="22"/>
          <w:szCs w:val="22"/>
        </w:rPr>
        <w:t xml:space="preserve">and maintain </w:t>
      </w:r>
      <w:r w:rsidRPr="00924D0B">
        <w:rPr>
          <w:sz w:val="22"/>
          <w:szCs w:val="22"/>
        </w:rPr>
        <w:t>a percentage differential between the Oxford Living Wage and the London Living Wage</w:t>
      </w:r>
      <w:r w:rsidR="00924D0B">
        <w:rPr>
          <w:sz w:val="22"/>
          <w:szCs w:val="22"/>
        </w:rPr>
        <w:t>. As such any change in the London Living Wage will be reflected in the Oxford Living Wage</w:t>
      </w:r>
    </w:p>
    <w:p w:rsidR="003140B3" w:rsidRDefault="003140B3" w:rsidP="003140B3">
      <w:pPr>
        <w:pStyle w:val="ListParagraph"/>
        <w:ind w:left="1080"/>
        <w:rPr>
          <w:sz w:val="22"/>
          <w:szCs w:val="22"/>
        </w:rPr>
      </w:pPr>
    </w:p>
    <w:p w:rsidR="00591708" w:rsidRPr="00924D0B" w:rsidRDefault="003140B3" w:rsidP="003140B3">
      <w:pPr>
        <w:pStyle w:val="ListParagraph"/>
        <w:numPr>
          <w:ilvl w:val="0"/>
          <w:numId w:val="22"/>
        </w:numPr>
        <w:rPr>
          <w:sz w:val="22"/>
          <w:szCs w:val="22"/>
        </w:rPr>
      </w:pPr>
      <w:r w:rsidRPr="00924D0B">
        <w:rPr>
          <w:sz w:val="22"/>
          <w:szCs w:val="22"/>
        </w:rPr>
        <w:t>Prior to November 2013, the</w:t>
      </w:r>
      <w:r w:rsidR="00591708" w:rsidRPr="00924D0B">
        <w:rPr>
          <w:sz w:val="22"/>
          <w:szCs w:val="22"/>
        </w:rPr>
        <w:t xml:space="preserve"> rates are as follows:</w:t>
      </w:r>
    </w:p>
    <w:p w:rsidR="00591708" w:rsidRPr="00924D0B" w:rsidRDefault="00591708" w:rsidP="00591708">
      <w:pPr>
        <w:pStyle w:val="ListParagraph"/>
        <w:rPr>
          <w:sz w:val="22"/>
          <w:szCs w:val="22"/>
        </w:rPr>
      </w:pPr>
    </w:p>
    <w:tbl>
      <w:tblPr>
        <w:tblStyle w:val="TableGrid"/>
        <w:tblW w:w="0" w:type="auto"/>
        <w:tblInd w:w="284" w:type="dxa"/>
        <w:tblLook w:val="04A0" w:firstRow="1" w:lastRow="0" w:firstColumn="1" w:lastColumn="0" w:noHBand="0" w:noVBand="1"/>
      </w:tblPr>
      <w:tblGrid>
        <w:gridCol w:w="3080"/>
        <w:gridCol w:w="3081"/>
        <w:gridCol w:w="3081"/>
      </w:tblGrid>
      <w:tr w:rsidR="00591708" w:rsidRPr="00D75BAE" w:rsidTr="00897C7D">
        <w:tc>
          <w:tcPr>
            <w:tcW w:w="3080" w:type="dxa"/>
          </w:tcPr>
          <w:p w:rsidR="00591708" w:rsidRPr="00D75BAE" w:rsidRDefault="00591708" w:rsidP="00897C7D">
            <w:pPr>
              <w:pStyle w:val="ListParagraph"/>
              <w:ind w:left="0"/>
              <w:rPr>
                <w:b/>
                <w:sz w:val="22"/>
                <w:szCs w:val="22"/>
              </w:rPr>
            </w:pPr>
            <w:r w:rsidRPr="00D75BAE">
              <w:rPr>
                <w:b/>
                <w:sz w:val="22"/>
                <w:szCs w:val="22"/>
              </w:rPr>
              <w:t>Wage</w:t>
            </w:r>
          </w:p>
        </w:tc>
        <w:tc>
          <w:tcPr>
            <w:tcW w:w="3081" w:type="dxa"/>
          </w:tcPr>
          <w:p w:rsidR="00591708" w:rsidRPr="00D75BAE" w:rsidRDefault="00591708" w:rsidP="00897C7D">
            <w:pPr>
              <w:pStyle w:val="ListParagraph"/>
              <w:ind w:left="0"/>
              <w:rPr>
                <w:b/>
                <w:sz w:val="22"/>
                <w:szCs w:val="22"/>
              </w:rPr>
            </w:pPr>
            <w:r w:rsidRPr="00D75BAE">
              <w:rPr>
                <w:b/>
                <w:sz w:val="22"/>
                <w:szCs w:val="22"/>
              </w:rPr>
              <w:t>Rate</w:t>
            </w:r>
          </w:p>
        </w:tc>
        <w:tc>
          <w:tcPr>
            <w:tcW w:w="3081" w:type="dxa"/>
          </w:tcPr>
          <w:p w:rsidR="00591708" w:rsidRPr="00D75BAE" w:rsidRDefault="00591708" w:rsidP="00897C7D">
            <w:pPr>
              <w:pStyle w:val="ListParagraph"/>
              <w:ind w:left="0"/>
              <w:rPr>
                <w:b/>
                <w:sz w:val="22"/>
                <w:szCs w:val="22"/>
              </w:rPr>
            </w:pPr>
            <w:r w:rsidRPr="00D75BAE">
              <w:rPr>
                <w:b/>
                <w:sz w:val="22"/>
                <w:szCs w:val="22"/>
              </w:rPr>
              <w:t>Percentage of LLW</w:t>
            </w:r>
          </w:p>
        </w:tc>
      </w:tr>
      <w:tr w:rsidR="00591708" w:rsidRPr="00924D0B" w:rsidTr="00897C7D">
        <w:tc>
          <w:tcPr>
            <w:tcW w:w="3080" w:type="dxa"/>
          </w:tcPr>
          <w:p w:rsidR="00591708" w:rsidRPr="00924D0B" w:rsidRDefault="00591708" w:rsidP="00897C7D">
            <w:pPr>
              <w:pStyle w:val="ListParagraph"/>
              <w:ind w:left="0"/>
              <w:rPr>
                <w:sz w:val="22"/>
                <w:szCs w:val="22"/>
              </w:rPr>
            </w:pPr>
            <w:r w:rsidRPr="00924D0B">
              <w:rPr>
                <w:sz w:val="22"/>
                <w:szCs w:val="22"/>
              </w:rPr>
              <w:t>National Living Wage</w:t>
            </w:r>
          </w:p>
        </w:tc>
        <w:tc>
          <w:tcPr>
            <w:tcW w:w="3081" w:type="dxa"/>
          </w:tcPr>
          <w:p w:rsidR="00591708" w:rsidRPr="00924D0B" w:rsidRDefault="00591708" w:rsidP="00897C7D">
            <w:pPr>
              <w:pStyle w:val="ListParagraph"/>
              <w:ind w:left="0"/>
              <w:rPr>
                <w:sz w:val="22"/>
                <w:szCs w:val="22"/>
              </w:rPr>
            </w:pPr>
            <w:r w:rsidRPr="00924D0B">
              <w:rPr>
                <w:sz w:val="22"/>
                <w:szCs w:val="22"/>
              </w:rPr>
              <w:t>£7.45</w:t>
            </w:r>
          </w:p>
        </w:tc>
        <w:tc>
          <w:tcPr>
            <w:tcW w:w="3081" w:type="dxa"/>
          </w:tcPr>
          <w:p w:rsidR="00591708" w:rsidRPr="00924D0B" w:rsidRDefault="00591708" w:rsidP="00897C7D">
            <w:pPr>
              <w:pStyle w:val="ListParagraph"/>
              <w:ind w:left="0"/>
              <w:rPr>
                <w:sz w:val="22"/>
                <w:szCs w:val="22"/>
              </w:rPr>
            </w:pPr>
            <w:r w:rsidRPr="00924D0B">
              <w:rPr>
                <w:sz w:val="22"/>
                <w:szCs w:val="22"/>
              </w:rPr>
              <w:t>87%</w:t>
            </w:r>
          </w:p>
        </w:tc>
      </w:tr>
      <w:tr w:rsidR="00591708" w:rsidRPr="00924D0B" w:rsidTr="00897C7D">
        <w:tc>
          <w:tcPr>
            <w:tcW w:w="3080" w:type="dxa"/>
          </w:tcPr>
          <w:p w:rsidR="00591708" w:rsidRPr="00924D0B" w:rsidRDefault="00591708" w:rsidP="00897C7D">
            <w:pPr>
              <w:pStyle w:val="ListParagraph"/>
              <w:ind w:left="0"/>
              <w:rPr>
                <w:sz w:val="22"/>
                <w:szCs w:val="22"/>
              </w:rPr>
            </w:pPr>
            <w:r w:rsidRPr="00924D0B">
              <w:rPr>
                <w:sz w:val="22"/>
                <w:szCs w:val="22"/>
              </w:rPr>
              <w:t>Oxford Living Wage</w:t>
            </w:r>
          </w:p>
        </w:tc>
        <w:tc>
          <w:tcPr>
            <w:tcW w:w="3081" w:type="dxa"/>
          </w:tcPr>
          <w:p w:rsidR="00591708" w:rsidRPr="00924D0B" w:rsidRDefault="00591708" w:rsidP="00897C7D">
            <w:pPr>
              <w:pStyle w:val="ListParagraph"/>
              <w:ind w:left="0"/>
              <w:rPr>
                <w:sz w:val="22"/>
                <w:szCs w:val="22"/>
              </w:rPr>
            </w:pPr>
            <w:r w:rsidRPr="00924D0B">
              <w:rPr>
                <w:sz w:val="22"/>
                <w:szCs w:val="22"/>
              </w:rPr>
              <w:t>£8.13</w:t>
            </w:r>
          </w:p>
        </w:tc>
        <w:tc>
          <w:tcPr>
            <w:tcW w:w="3081" w:type="dxa"/>
          </w:tcPr>
          <w:p w:rsidR="00591708" w:rsidRPr="00924D0B" w:rsidRDefault="00591708" w:rsidP="00897C7D">
            <w:pPr>
              <w:pStyle w:val="ListParagraph"/>
              <w:ind w:left="0"/>
              <w:rPr>
                <w:sz w:val="22"/>
                <w:szCs w:val="22"/>
              </w:rPr>
            </w:pPr>
            <w:r w:rsidRPr="00924D0B">
              <w:rPr>
                <w:sz w:val="22"/>
                <w:szCs w:val="22"/>
              </w:rPr>
              <w:t>95%</w:t>
            </w:r>
          </w:p>
        </w:tc>
      </w:tr>
      <w:tr w:rsidR="00591708" w:rsidRPr="00924D0B" w:rsidTr="00897C7D">
        <w:tc>
          <w:tcPr>
            <w:tcW w:w="3080" w:type="dxa"/>
          </w:tcPr>
          <w:p w:rsidR="00591708" w:rsidRPr="00924D0B" w:rsidRDefault="00591708" w:rsidP="00897C7D">
            <w:pPr>
              <w:pStyle w:val="ListParagraph"/>
              <w:ind w:left="0"/>
              <w:rPr>
                <w:sz w:val="22"/>
                <w:szCs w:val="22"/>
              </w:rPr>
            </w:pPr>
            <w:r w:rsidRPr="00924D0B">
              <w:rPr>
                <w:sz w:val="22"/>
                <w:szCs w:val="22"/>
              </w:rPr>
              <w:t>London Living Wage</w:t>
            </w:r>
          </w:p>
        </w:tc>
        <w:tc>
          <w:tcPr>
            <w:tcW w:w="3081" w:type="dxa"/>
          </w:tcPr>
          <w:p w:rsidR="00591708" w:rsidRPr="00924D0B" w:rsidRDefault="00591708" w:rsidP="00897C7D">
            <w:pPr>
              <w:pStyle w:val="ListParagraph"/>
              <w:ind w:left="0"/>
              <w:rPr>
                <w:sz w:val="22"/>
                <w:szCs w:val="22"/>
              </w:rPr>
            </w:pPr>
            <w:r w:rsidRPr="00924D0B">
              <w:rPr>
                <w:sz w:val="22"/>
                <w:szCs w:val="22"/>
              </w:rPr>
              <w:t>£8.55</w:t>
            </w:r>
          </w:p>
        </w:tc>
        <w:tc>
          <w:tcPr>
            <w:tcW w:w="3081" w:type="dxa"/>
          </w:tcPr>
          <w:p w:rsidR="00591708" w:rsidRPr="00924D0B" w:rsidRDefault="00591708" w:rsidP="00897C7D">
            <w:pPr>
              <w:pStyle w:val="ListParagraph"/>
              <w:ind w:left="0"/>
              <w:rPr>
                <w:sz w:val="22"/>
                <w:szCs w:val="22"/>
              </w:rPr>
            </w:pPr>
            <w:r w:rsidRPr="00924D0B">
              <w:rPr>
                <w:sz w:val="22"/>
                <w:szCs w:val="22"/>
              </w:rPr>
              <w:t>100%</w:t>
            </w:r>
          </w:p>
        </w:tc>
      </w:tr>
    </w:tbl>
    <w:p w:rsidR="003140B3" w:rsidRPr="00924D0B" w:rsidRDefault="003140B3" w:rsidP="003140B3">
      <w:pPr>
        <w:rPr>
          <w:rFonts w:eastAsia="Calibri"/>
          <w:sz w:val="22"/>
          <w:szCs w:val="22"/>
        </w:rPr>
      </w:pPr>
    </w:p>
    <w:p w:rsidR="003140B3" w:rsidRPr="00924D0B" w:rsidRDefault="003140B3" w:rsidP="003140B3">
      <w:pPr>
        <w:pStyle w:val="ListParagraph"/>
        <w:numPr>
          <w:ilvl w:val="0"/>
          <w:numId w:val="22"/>
        </w:numPr>
        <w:rPr>
          <w:sz w:val="22"/>
          <w:szCs w:val="22"/>
        </w:rPr>
      </w:pPr>
      <w:r w:rsidRPr="00924D0B">
        <w:rPr>
          <w:sz w:val="22"/>
          <w:szCs w:val="22"/>
        </w:rPr>
        <w:t>In November 2013, the rates increased as follows:</w:t>
      </w:r>
    </w:p>
    <w:p w:rsidR="003140B3" w:rsidRPr="00924D0B" w:rsidRDefault="003140B3" w:rsidP="003140B3">
      <w:pPr>
        <w:rPr>
          <w:sz w:val="22"/>
          <w:szCs w:val="22"/>
        </w:rPr>
      </w:pPr>
    </w:p>
    <w:tbl>
      <w:tblPr>
        <w:tblStyle w:val="TableGrid"/>
        <w:tblW w:w="0" w:type="auto"/>
        <w:tblInd w:w="284" w:type="dxa"/>
        <w:tblLook w:val="04A0" w:firstRow="1" w:lastRow="0" w:firstColumn="1" w:lastColumn="0" w:noHBand="0" w:noVBand="1"/>
      </w:tblPr>
      <w:tblGrid>
        <w:gridCol w:w="3080"/>
        <w:gridCol w:w="3081"/>
        <w:gridCol w:w="3081"/>
      </w:tblGrid>
      <w:tr w:rsidR="003140B3" w:rsidRPr="00D75BAE" w:rsidTr="00897C7D">
        <w:tc>
          <w:tcPr>
            <w:tcW w:w="3080" w:type="dxa"/>
          </w:tcPr>
          <w:p w:rsidR="003140B3" w:rsidRPr="00D75BAE" w:rsidRDefault="003140B3" w:rsidP="00897C7D">
            <w:pPr>
              <w:pStyle w:val="ListParagraph"/>
              <w:ind w:left="0"/>
              <w:rPr>
                <w:b/>
                <w:sz w:val="22"/>
                <w:szCs w:val="22"/>
              </w:rPr>
            </w:pPr>
            <w:r w:rsidRPr="00D75BAE">
              <w:rPr>
                <w:b/>
                <w:sz w:val="22"/>
                <w:szCs w:val="22"/>
              </w:rPr>
              <w:t>Wage</w:t>
            </w:r>
          </w:p>
        </w:tc>
        <w:tc>
          <w:tcPr>
            <w:tcW w:w="3081" w:type="dxa"/>
          </w:tcPr>
          <w:p w:rsidR="003140B3" w:rsidRPr="00D75BAE" w:rsidRDefault="003140B3" w:rsidP="00897C7D">
            <w:pPr>
              <w:pStyle w:val="ListParagraph"/>
              <w:ind w:left="0"/>
              <w:rPr>
                <w:b/>
                <w:sz w:val="22"/>
                <w:szCs w:val="22"/>
              </w:rPr>
            </w:pPr>
            <w:r w:rsidRPr="00D75BAE">
              <w:rPr>
                <w:b/>
                <w:sz w:val="22"/>
                <w:szCs w:val="22"/>
              </w:rPr>
              <w:t>Rate</w:t>
            </w:r>
          </w:p>
        </w:tc>
        <w:tc>
          <w:tcPr>
            <w:tcW w:w="3081" w:type="dxa"/>
          </w:tcPr>
          <w:p w:rsidR="003140B3" w:rsidRPr="00D75BAE" w:rsidRDefault="003140B3" w:rsidP="00897C7D">
            <w:pPr>
              <w:pStyle w:val="ListParagraph"/>
              <w:ind w:left="0"/>
              <w:rPr>
                <w:b/>
                <w:sz w:val="22"/>
                <w:szCs w:val="22"/>
              </w:rPr>
            </w:pPr>
            <w:r w:rsidRPr="00D75BAE">
              <w:rPr>
                <w:b/>
                <w:sz w:val="22"/>
                <w:szCs w:val="22"/>
              </w:rPr>
              <w:t>Percentage of LLW</w:t>
            </w:r>
          </w:p>
        </w:tc>
      </w:tr>
      <w:tr w:rsidR="003140B3" w:rsidRPr="00924D0B" w:rsidTr="00897C7D">
        <w:tc>
          <w:tcPr>
            <w:tcW w:w="3080" w:type="dxa"/>
          </w:tcPr>
          <w:p w:rsidR="003140B3" w:rsidRPr="00924D0B" w:rsidRDefault="003140B3" w:rsidP="00897C7D">
            <w:pPr>
              <w:pStyle w:val="ListParagraph"/>
              <w:ind w:left="0"/>
              <w:rPr>
                <w:sz w:val="22"/>
                <w:szCs w:val="22"/>
              </w:rPr>
            </w:pPr>
            <w:r w:rsidRPr="00924D0B">
              <w:rPr>
                <w:sz w:val="22"/>
                <w:szCs w:val="22"/>
              </w:rPr>
              <w:t>National Living Wage</w:t>
            </w:r>
          </w:p>
        </w:tc>
        <w:tc>
          <w:tcPr>
            <w:tcW w:w="3081" w:type="dxa"/>
          </w:tcPr>
          <w:p w:rsidR="003140B3" w:rsidRPr="00924D0B" w:rsidRDefault="00D75BAE" w:rsidP="00897C7D">
            <w:pPr>
              <w:pStyle w:val="ListParagraph"/>
              <w:ind w:left="0"/>
              <w:rPr>
                <w:sz w:val="22"/>
                <w:szCs w:val="22"/>
              </w:rPr>
            </w:pPr>
            <w:r>
              <w:rPr>
                <w:sz w:val="22"/>
                <w:szCs w:val="22"/>
              </w:rPr>
              <w:t>£7.65</w:t>
            </w:r>
          </w:p>
        </w:tc>
        <w:tc>
          <w:tcPr>
            <w:tcW w:w="3081" w:type="dxa"/>
          </w:tcPr>
          <w:p w:rsidR="003140B3" w:rsidRPr="00924D0B" w:rsidRDefault="003140B3" w:rsidP="00897C7D">
            <w:pPr>
              <w:pStyle w:val="ListParagraph"/>
              <w:ind w:left="0"/>
              <w:rPr>
                <w:sz w:val="22"/>
                <w:szCs w:val="22"/>
              </w:rPr>
            </w:pPr>
            <w:r w:rsidRPr="00924D0B">
              <w:rPr>
                <w:sz w:val="22"/>
                <w:szCs w:val="22"/>
              </w:rPr>
              <w:t>87%</w:t>
            </w:r>
          </w:p>
        </w:tc>
      </w:tr>
      <w:tr w:rsidR="003140B3" w:rsidRPr="00924D0B" w:rsidTr="00897C7D">
        <w:tc>
          <w:tcPr>
            <w:tcW w:w="3080" w:type="dxa"/>
          </w:tcPr>
          <w:p w:rsidR="003140B3" w:rsidRPr="00924D0B" w:rsidRDefault="003140B3" w:rsidP="00897C7D">
            <w:pPr>
              <w:pStyle w:val="ListParagraph"/>
              <w:ind w:left="0"/>
              <w:rPr>
                <w:sz w:val="22"/>
                <w:szCs w:val="22"/>
              </w:rPr>
            </w:pPr>
            <w:r w:rsidRPr="00924D0B">
              <w:rPr>
                <w:sz w:val="22"/>
                <w:szCs w:val="22"/>
              </w:rPr>
              <w:t>London Living Wage</w:t>
            </w:r>
          </w:p>
        </w:tc>
        <w:tc>
          <w:tcPr>
            <w:tcW w:w="3081" w:type="dxa"/>
          </w:tcPr>
          <w:p w:rsidR="003140B3" w:rsidRPr="00924D0B" w:rsidRDefault="00D75BAE" w:rsidP="00897C7D">
            <w:pPr>
              <w:pStyle w:val="ListParagraph"/>
              <w:ind w:left="0"/>
              <w:rPr>
                <w:sz w:val="22"/>
                <w:szCs w:val="22"/>
              </w:rPr>
            </w:pPr>
            <w:r>
              <w:rPr>
                <w:sz w:val="22"/>
                <w:szCs w:val="22"/>
              </w:rPr>
              <w:t>£8.80</w:t>
            </w:r>
          </w:p>
        </w:tc>
        <w:tc>
          <w:tcPr>
            <w:tcW w:w="3081" w:type="dxa"/>
          </w:tcPr>
          <w:p w:rsidR="003140B3" w:rsidRPr="00924D0B" w:rsidRDefault="003140B3" w:rsidP="00897C7D">
            <w:pPr>
              <w:pStyle w:val="ListParagraph"/>
              <w:ind w:left="0"/>
              <w:rPr>
                <w:sz w:val="22"/>
                <w:szCs w:val="22"/>
              </w:rPr>
            </w:pPr>
            <w:r w:rsidRPr="00924D0B">
              <w:rPr>
                <w:sz w:val="22"/>
                <w:szCs w:val="22"/>
              </w:rPr>
              <w:t>100%</w:t>
            </w:r>
          </w:p>
        </w:tc>
      </w:tr>
    </w:tbl>
    <w:p w:rsidR="00591708" w:rsidRPr="00924D0B" w:rsidRDefault="00591708" w:rsidP="003140B3">
      <w:pPr>
        <w:pStyle w:val="ListParagraph"/>
        <w:numPr>
          <w:ilvl w:val="0"/>
          <w:numId w:val="22"/>
        </w:numPr>
        <w:rPr>
          <w:sz w:val="22"/>
          <w:szCs w:val="22"/>
        </w:rPr>
      </w:pPr>
      <w:r w:rsidRPr="00924D0B">
        <w:rPr>
          <w:sz w:val="22"/>
          <w:szCs w:val="22"/>
        </w:rPr>
        <w:lastRenderedPageBreak/>
        <w:t xml:space="preserve">Therefore </w:t>
      </w:r>
      <w:r w:rsidR="00D75BAE">
        <w:rPr>
          <w:sz w:val="22"/>
          <w:szCs w:val="22"/>
        </w:rPr>
        <w:t>if the Council continued to maintain an</w:t>
      </w:r>
      <w:r w:rsidRPr="00924D0B">
        <w:rPr>
          <w:sz w:val="22"/>
          <w:szCs w:val="22"/>
        </w:rPr>
        <w:t xml:space="preserve"> Oxford Living Wage </w:t>
      </w:r>
      <w:r w:rsidR="00D75BAE">
        <w:rPr>
          <w:sz w:val="22"/>
          <w:szCs w:val="22"/>
        </w:rPr>
        <w:t xml:space="preserve">at a rate of 95% of the London Living Wage, the </w:t>
      </w:r>
      <w:r w:rsidR="00E063E6">
        <w:rPr>
          <w:sz w:val="22"/>
          <w:szCs w:val="22"/>
        </w:rPr>
        <w:t xml:space="preserve">revised </w:t>
      </w:r>
      <w:r w:rsidR="00D75BAE">
        <w:rPr>
          <w:sz w:val="22"/>
          <w:szCs w:val="22"/>
        </w:rPr>
        <w:t xml:space="preserve">Oxford Living Wage would be </w:t>
      </w:r>
      <w:r w:rsidR="00D75BAE" w:rsidRPr="00E063E6">
        <w:rPr>
          <w:b/>
          <w:sz w:val="22"/>
          <w:szCs w:val="22"/>
        </w:rPr>
        <w:t xml:space="preserve">£8.36 </w:t>
      </w:r>
      <w:r w:rsidR="00D75BAE">
        <w:rPr>
          <w:sz w:val="22"/>
          <w:szCs w:val="22"/>
        </w:rPr>
        <w:t xml:space="preserve">per hour. This could be effective from </w:t>
      </w:r>
      <w:r w:rsidRPr="00924D0B">
        <w:rPr>
          <w:sz w:val="22"/>
          <w:szCs w:val="22"/>
        </w:rPr>
        <w:t xml:space="preserve">April </w:t>
      </w:r>
      <w:r w:rsidR="00D75BAE">
        <w:rPr>
          <w:sz w:val="22"/>
          <w:szCs w:val="22"/>
        </w:rPr>
        <w:t xml:space="preserve">2014 </w:t>
      </w:r>
      <w:r w:rsidR="00E063E6">
        <w:rPr>
          <w:sz w:val="22"/>
          <w:szCs w:val="22"/>
        </w:rPr>
        <w:t xml:space="preserve">(to allow time for budgeting and implementation) </w:t>
      </w:r>
      <w:r w:rsidR="00D75BAE">
        <w:rPr>
          <w:sz w:val="22"/>
          <w:szCs w:val="22"/>
        </w:rPr>
        <w:t>and subsequent increases applied each April thereafter following the (usual) November notification</w:t>
      </w:r>
      <w:r w:rsidR="00E063E6">
        <w:rPr>
          <w:sz w:val="22"/>
          <w:szCs w:val="22"/>
        </w:rPr>
        <w:t xml:space="preserve"> of new rates for the London Living Wage and National Living Wage.</w:t>
      </w:r>
    </w:p>
    <w:p w:rsidR="00591708" w:rsidRPr="00924D0B" w:rsidRDefault="00591708" w:rsidP="00591708">
      <w:pPr>
        <w:rPr>
          <w:sz w:val="22"/>
          <w:szCs w:val="22"/>
        </w:rPr>
      </w:pPr>
    </w:p>
    <w:p w:rsidR="00B01DB9" w:rsidRPr="00924D0B" w:rsidRDefault="004E0BCC" w:rsidP="00B721E0">
      <w:pPr>
        <w:rPr>
          <w:rFonts w:eastAsia="Times New Roman"/>
          <w:b/>
          <w:sz w:val="22"/>
          <w:szCs w:val="22"/>
        </w:rPr>
      </w:pPr>
      <w:r w:rsidRPr="00924D0B">
        <w:rPr>
          <w:rFonts w:eastAsia="Times New Roman"/>
          <w:b/>
          <w:sz w:val="22"/>
          <w:szCs w:val="22"/>
        </w:rPr>
        <w:t>Finance</w:t>
      </w:r>
    </w:p>
    <w:p w:rsidR="004E0BCC" w:rsidRPr="00924D0B" w:rsidRDefault="004E0BCC" w:rsidP="00B721E0">
      <w:pPr>
        <w:rPr>
          <w:rFonts w:eastAsia="Times New Roman"/>
          <w:b/>
          <w:sz w:val="22"/>
          <w:szCs w:val="22"/>
        </w:rPr>
      </w:pPr>
    </w:p>
    <w:p w:rsidR="004E0BCC" w:rsidRDefault="004E0BCC" w:rsidP="004E0BCC">
      <w:pPr>
        <w:pStyle w:val="ListParagraph"/>
        <w:numPr>
          <w:ilvl w:val="0"/>
          <w:numId w:val="22"/>
        </w:numPr>
        <w:rPr>
          <w:rFonts w:eastAsia="Times New Roman"/>
          <w:sz w:val="22"/>
          <w:szCs w:val="22"/>
        </w:rPr>
      </w:pPr>
      <w:r w:rsidRPr="00E105DC">
        <w:rPr>
          <w:rFonts w:eastAsia="Times New Roman"/>
          <w:sz w:val="22"/>
          <w:szCs w:val="22"/>
        </w:rPr>
        <w:t xml:space="preserve">The Council has already factored in paying </w:t>
      </w:r>
      <w:r w:rsidR="00E105DC" w:rsidRPr="00E105DC">
        <w:rPr>
          <w:rFonts w:eastAsia="Times New Roman"/>
          <w:sz w:val="22"/>
          <w:szCs w:val="22"/>
        </w:rPr>
        <w:t xml:space="preserve">a minimum of £8.85 (with effect from October 2013) i.e. £0.49 per hour above the </w:t>
      </w:r>
      <w:r w:rsidRPr="00E105DC">
        <w:rPr>
          <w:rFonts w:eastAsia="Times New Roman"/>
          <w:sz w:val="22"/>
          <w:szCs w:val="22"/>
        </w:rPr>
        <w:t xml:space="preserve">Oxford Living Wage to </w:t>
      </w:r>
      <w:r w:rsidR="00E96EA3" w:rsidRPr="00E105DC">
        <w:rPr>
          <w:rFonts w:eastAsia="Times New Roman"/>
          <w:sz w:val="22"/>
          <w:szCs w:val="22"/>
        </w:rPr>
        <w:t>its entire</w:t>
      </w:r>
      <w:r w:rsidRPr="00E105DC">
        <w:rPr>
          <w:rFonts w:eastAsia="Times New Roman"/>
          <w:sz w:val="22"/>
          <w:szCs w:val="22"/>
        </w:rPr>
        <w:t xml:space="preserve"> staff as part of the 2013/18 pay agreement</w:t>
      </w:r>
      <w:r w:rsidR="00E105DC" w:rsidRPr="00E105DC">
        <w:rPr>
          <w:rFonts w:eastAsia="Times New Roman"/>
          <w:sz w:val="22"/>
          <w:szCs w:val="22"/>
        </w:rPr>
        <w:t xml:space="preserve"> therefore no adjustment is needed to</w:t>
      </w:r>
      <w:r w:rsidR="00E105DC">
        <w:rPr>
          <w:rFonts w:eastAsia="Times New Roman"/>
          <w:sz w:val="22"/>
          <w:szCs w:val="22"/>
        </w:rPr>
        <w:t xml:space="preserve"> the medium term financial plan.</w:t>
      </w:r>
    </w:p>
    <w:p w:rsidR="00E105DC" w:rsidRPr="00E105DC" w:rsidRDefault="00E105DC" w:rsidP="00E105DC">
      <w:pPr>
        <w:pStyle w:val="ListParagraph"/>
        <w:ind w:left="1080"/>
        <w:rPr>
          <w:rFonts w:eastAsia="Times New Roman"/>
          <w:sz w:val="22"/>
          <w:szCs w:val="22"/>
        </w:rPr>
      </w:pPr>
    </w:p>
    <w:p w:rsidR="00F530A6" w:rsidRDefault="00F530A6" w:rsidP="00F530A6">
      <w:pPr>
        <w:pStyle w:val="ListParagraph"/>
        <w:numPr>
          <w:ilvl w:val="0"/>
          <w:numId w:val="22"/>
        </w:numPr>
        <w:rPr>
          <w:rFonts w:eastAsia="Times New Roman"/>
          <w:sz w:val="22"/>
          <w:szCs w:val="22"/>
        </w:rPr>
      </w:pPr>
      <w:r w:rsidRPr="00924D0B">
        <w:rPr>
          <w:rFonts w:eastAsia="Times New Roman"/>
          <w:sz w:val="22"/>
          <w:szCs w:val="22"/>
        </w:rPr>
        <w:t xml:space="preserve">Increasing the Oxford Living Wage </w:t>
      </w:r>
      <w:r>
        <w:rPr>
          <w:rFonts w:eastAsia="Times New Roman"/>
          <w:sz w:val="22"/>
          <w:szCs w:val="22"/>
        </w:rPr>
        <w:t xml:space="preserve">to £8.36 </w:t>
      </w:r>
      <w:r w:rsidRPr="00924D0B">
        <w:rPr>
          <w:rFonts w:eastAsia="Times New Roman"/>
          <w:sz w:val="22"/>
          <w:szCs w:val="22"/>
        </w:rPr>
        <w:t>will increase Fusion</w:t>
      </w:r>
      <w:r>
        <w:rPr>
          <w:rFonts w:eastAsia="Times New Roman"/>
          <w:sz w:val="22"/>
          <w:szCs w:val="22"/>
        </w:rPr>
        <w:t>s</w:t>
      </w:r>
      <w:r w:rsidRPr="00924D0B">
        <w:rPr>
          <w:rFonts w:eastAsia="Times New Roman"/>
          <w:sz w:val="22"/>
          <w:szCs w:val="22"/>
        </w:rPr>
        <w:t xml:space="preserve"> co</w:t>
      </w:r>
      <w:r>
        <w:rPr>
          <w:rFonts w:eastAsia="Times New Roman"/>
          <w:sz w:val="22"/>
          <w:szCs w:val="22"/>
        </w:rPr>
        <w:t>sts by another £36k</w:t>
      </w:r>
      <w:r w:rsidRPr="00924D0B">
        <w:rPr>
          <w:rFonts w:eastAsia="Times New Roman"/>
          <w:sz w:val="22"/>
          <w:szCs w:val="22"/>
        </w:rPr>
        <w:t xml:space="preserve"> </w:t>
      </w:r>
      <w:r>
        <w:rPr>
          <w:rFonts w:eastAsia="Times New Roman"/>
          <w:sz w:val="22"/>
          <w:szCs w:val="22"/>
        </w:rPr>
        <w:t>(i.e. the difference between the sum already budgeted for (£8.13) and this new rate).  However, allowing for RPI provisions within the contract Fusion will be required to pick up the substantial element of this.  Using October RPI (1.9%) takes Fusion’s liability under the contract to £8.28.  The actual figure will be based on April RPI.</w:t>
      </w:r>
    </w:p>
    <w:p w:rsidR="003D40DB" w:rsidRPr="003D40DB" w:rsidRDefault="003D40DB" w:rsidP="003D40DB">
      <w:pPr>
        <w:pStyle w:val="ListParagraph"/>
        <w:rPr>
          <w:rFonts w:eastAsia="Times New Roman"/>
          <w:sz w:val="22"/>
          <w:szCs w:val="22"/>
        </w:rPr>
      </w:pPr>
    </w:p>
    <w:p w:rsidR="004E0BCC" w:rsidRPr="003D40DB" w:rsidRDefault="00316CA9" w:rsidP="003D40DB">
      <w:pPr>
        <w:pStyle w:val="ListParagraph"/>
        <w:numPr>
          <w:ilvl w:val="0"/>
          <w:numId w:val="22"/>
        </w:numPr>
        <w:rPr>
          <w:rFonts w:eastAsia="Times New Roman"/>
          <w:sz w:val="22"/>
          <w:szCs w:val="22"/>
        </w:rPr>
      </w:pPr>
      <w:r>
        <w:rPr>
          <w:rFonts w:eastAsia="Times New Roman"/>
          <w:sz w:val="22"/>
          <w:szCs w:val="22"/>
        </w:rPr>
        <w:t>R</w:t>
      </w:r>
      <w:r w:rsidR="00924D0B" w:rsidRPr="003D40DB">
        <w:rPr>
          <w:rFonts w:eastAsia="Times New Roman"/>
          <w:sz w:val="22"/>
          <w:szCs w:val="22"/>
        </w:rPr>
        <w:t>equiring other contractors</w:t>
      </w:r>
      <w:r w:rsidR="004E0BCC" w:rsidRPr="003D40DB">
        <w:rPr>
          <w:rFonts w:eastAsia="Times New Roman"/>
          <w:sz w:val="22"/>
          <w:szCs w:val="22"/>
        </w:rPr>
        <w:t xml:space="preserve"> to </w:t>
      </w:r>
      <w:r w:rsidR="00924D0B" w:rsidRPr="003D40DB">
        <w:rPr>
          <w:rFonts w:eastAsia="Times New Roman"/>
          <w:sz w:val="22"/>
          <w:szCs w:val="22"/>
        </w:rPr>
        <w:t xml:space="preserve">further </w:t>
      </w:r>
      <w:r w:rsidR="004E0BCC" w:rsidRPr="003D40DB">
        <w:rPr>
          <w:rFonts w:eastAsia="Times New Roman"/>
          <w:sz w:val="22"/>
          <w:szCs w:val="22"/>
        </w:rPr>
        <w:t xml:space="preserve">increase </w:t>
      </w:r>
      <w:r w:rsidR="00924D0B" w:rsidRPr="003D40DB">
        <w:rPr>
          <w:rFonts w:eastAsia="Times New Roman"/>
          <w:sz w:val="22"/>
          <w:szCs w:val="22"/>
        </w:rPr>
        <w:t xml:space="preserve">their rates of pay is likely to have an increase in </w:t>
      </w:r>
      <w:r w:rsidR="00F14EE4" w:rsidRPr="003D40DB">
        <w:rPr>
          <w:rFonts w:eastAsia="Times New Roman"/>
          <w:sz w:val="22"/>
          <w:szCs w:val="22"/>
        </w:rPr>
        <w:t>future</w:t>
      </w:r>
      <w:r w:rsidR="00924D0B" w:rsidRPr="003D40DB">
        <w:rPr>
          <w:rFonts w:eastAsia="Times New Roman"/>
          <w:sz w:val="22"/>
          <w:szCs w:val="22"/>
        </w:rPr>
        <w:t xml:space="preserve"> cost</w:t>
      </w:r>
      <w:r w:rsidR="00F14EE4" w:rsidRPr="003D40DB">
        <w:rPr>
          <w:rFonts w:eastAsia="Times New Roman"/>
          <w:sz w:val="22"/>
          <w:szCs w:val="22"/>
        </w:rPr>
        <w:t>s</w:t>
      </w:r>
      <w:r w:rsidR="00924D0B" w:rsidRPr="003D40DB">
        <w:rPr>
          <w:rFonts w:eastAsia="Times New Roman"/>
          <w:sz w:val="22"/>
          <w:szCs w:val="22"/>
        </w:rPr>
        <w:t xml:space="preserve"> of procurement</w:t>
      </w:r>
      <w:r w:rsidR="00C106EC" w:rsidRPr="003D40DB">
        <w:rPr>
          <w:rFonts w:eastAsia="Times New Roman"/>
          <w:sz w:val="22"/>
          <w:szCs w:val="22"/>
        </w:rPr>
        <w:t xml:space="preserve">. Currently </w:t>
      </w:r>
      <w:r w:rsidR="00317C52" w:rsidRPr="003D40DB">
        <w:rPr>
          <w:rFonts w:eastAsia="Times New Roman"/>
          <w:sz w:val="22"/>
          <w:szCs w:val="22"/>
        </w:rPr>
        <w:t xml:space="preserve">The Council requires existing suppliers to increase the pay rate of any employee </w:t>
      </w:r>
      <w:r w:rsidR="00AE4D5C" w:rsidRPr="003D40DB">
        <w:rPr>
          <w:rFonts w:eastAsia="Times New Roman"/>
          <w:sz w:val="22"/>
          <w:szCs w:val="22"/>
        </w:rPr>
        <w:t xml:space="preserve">to meet a higher pay rate within an agreed period. </w:t>
      </w:r>
    </w:p>
    <w:p w:rsidR="00B01DB9" w:rsidRPr="00924D0B" w:rsidRDefault="00B01DB9" w:rsidP="00B721E0">
      <w:pPr>
        <w:rPr>
          <w:rFonts w:eastAsia="Times New Roman"/>
          <w:b/>
          <w:sz w:val="22"/>
          <w:szCs w:val="22"/>
        </w:rPr>
      </w:pPr>
    </w:p>
    <w:p w:rsidR="00B721E0" w:rsidRPr="00924D0B" w:rsidRDefault="00B721E0" w:rsidP="00B721E0">
      <w:pPr>
        <w:rPr>
          <w:rFonts w:eastAsia="Times New Roman"/>
          <w:b/>
          <w:sz w:val="22"/>
          <w:szCs w:val="22"/>
        </w:rPr>
      </w:pPr>
      <w:r w:rsidRPr="00924D0B">
        <w:rPr>
          <w:rFonts w:eastAsia="Times New Roman"/>
          <w:b/>
          <w:sz w:val="22"/>
          <w:szCs w:val="22"/>
        </w:rPr>
        <w:t>Risk</w:t>
      </w:r>
    </w:p>
    <w:p w:rsidR="00B721E0" w:rsidRPr="00924D0B" w:rsidRDefault="00B721E0" w:rsidP="00B721E0">
      <w:pPr>
        <w:rPr>
          <w:rFonts w:eastAsia="Times New Roman"/>
          <w:b/>
          <w:sz w:val="22"/>
          <w:szCs w:val="22"/>
        </w:rPr>
      </w:pPr>
    </w:p>
    <w:p w:rsidR="00B01DB9" w:rsidRPr="00924D0B" w:rsidRDefault="00B721E0" w:rsidP="00B01DB9">
      <w:pPr>
        <w:pStyle w:val="ListParagraph"/>
        <w:numPr>
          <w:ilvl w:val="0"/>
          <w:numId w:val="22"/>
        </w:numPr>
        <w:rPr>
          <w:rFonts w:eastAsia="Times New Roman"/>
          <w:sz w:val="22"/>
          <w:szCs w:val="22"/>
        </w:rPr>
      </w:pPr>
      <w:r w:rsidRPr="00924D0B">
        <w:rPr>
          <w:rFonts w:eastAsia="Times New Roman"/>
          <w:sz w:val="22"/>
          <w:szCs w:val="22"/>
        </w:rPr>
        <w:t xml:space="preserve">A risk assessment is set out in Appendix 2. </w:t>
      </w:r>
    </w:p>
    <w:p w:rsidR="00B721E0" w:rsidRPr="00924D0B" w:rsidRDefault="00B721E0" w:rsidP="00B721E0">
      <w:pPr>
        <w:rPr>
          <w:rFonts w:eastAsia="Times New Roman"/>
          <w:sz w:val="22"/>
          <w:szCs w:val="22"/>
        </w:rPr>
      </w:pPr>
    </w:p>
    <w:p w:rsidR="00B721E0" w:rsidRPr="00924D0B" w:rsidRDefault="00B721E0" w:rsidP="00B721E0">
      <w:pPr>
        <w:rPr>
          <w:rFonts w:eastAsia="Times New Roman"/>
          <w:b/>
          <w:sz w:val="22"/>
          <w:szCs w:val="22"/>
        </w:rPr>
      </w:pPr>
      <w:r w:rsidRPr="00924D0B">
        <w:rPr>
          <w:rFonts w:eastAsia="Times New Roman"/>
          <w:b/>
          <w:sz w:val="22"/>
          <w:szCs w:val="22"/>
        </w:rPr>
        <w:t xml:space="preserve">Environmental Impact </w:t>
      </w:r>
    </w:p>
    <w:p w:rsidR="00B721E0" w:rsidRPr="00924D0B" w:rsidRDefault="00B721E0" w:rsidP="00B721E0">
      <w:pPr>
        <w:rPr>
          <w:rFonts w:eastAsia="Times New Roman"/>
          <w:b/>
          <w:sz w:val="22"/>
          <w:szCs w:val="22"/>
        </w:rPr>
      </w:pPr>
    </w:p>
    <w:p w:rsidR="00B721E0" w:rsidRPr="00924D0B" w:rsidRDefault="00B01DB9" w:rsidP="00B01DB9">
      <w:pPr>
        <w:pStyle w:val="ListParagraph"/>
        <w:numPr>
          <w:ilvl w:val="0"/>
          <w:numId w:val="22"/>
        </w:numPr>
        <w:rPr>
          <w:rFonts w:eastAsia="Times New Roman"/>
          <w:sz w:val="22"/>
          <w:szCs w:val="22"/>
        </w:rPr>
      </w:pPr>
      <w:r w:rsidRPr="00924D0B">
        <w:rPr>
          <w:rFonts w:eastAsia="Times New Roman"/>
          <w:sz w:val="22"/>
          <w:szCs w:val="22"/>
        </w:rPr>
        <w:t>There are no environmental impacts to report</w:t>
      </w:r>
    </w:p>
    <w:p w:rsidR="00B01DB9" w:rsidRPr="00924D0B" w:rsidRDefault="00B01DB9" w:rsidP="00B01DB9">
      <w:pPr>
        <w:pStyle w:val="ListParagraph"/>
        <w:ind w:left="1080"/>
        <w:rPr>
          <w:rFonts w:eastAsia="Times New Roman"/>
          <w:b/>
          <w:sz w:val="22"/>
          <w:szCs w:val="22"/>
        </w:rPr>
      </w:pPr>
    </w:p>
    <w:p w:rsidR="00B721E0" w:rsidRPr="00924D0B" w:rsidRDefault="00B721E0" w:rsidP="00B721E0">
      <w:pPr>
        <w:rPr>
          <w:rFonts w:eastAsia="Times New Roman"/>
          <w:b/>
          <w:sz w:val="22"/>
          <w:szCs w:val="22"/>
        </w:rPr>
      </w:pPr>
      <w:r w:rsidRPr="00924D0B">
        <w:rPr>
          <w:rFonts w:eastAsia="Times New Roman"/>
          <w:b/>
          <w:sz w:val="22"/>
          <w:szCs w:val="22"/>
        </w:rPr>
        <w:t>Equalities Impact</w:t>
      </w:r>
    </w:p>
    <w:p w:rsidR="00B721E0" w:rsidRPr="00924D0B" w:rsidRDefault="00B721E0" w:rsidP="00B721E0">
      <w:pPr>
        <w:rPr>
          <w:rFonts w:eastAsia="Times New Roman"/>
          <w:b/>
          <w:sz w:val="22"/>
          <w:szCs w:val="22"/>
        </w:rPr>
      </w:pPr>
    </w:p>
    <w:p w:rsidR="00B721E0" w:rsidRPr="00924D0B" w:rsidRDefault="00B01DB9" w:rsidP="00B01DB9">
      <w:pPr>
        <w:pStyle w:val="ListParagraph"/>
        <w:numPr>
          <w:ilvl w:val="0"/>
          <w:numId w:val="22"/>
        </w:numPr>
        <w:rPr>
          <w:rFonts w:eastAsia="Times New Roman"/>
          <w:sz w:val="22"/>
          <w:szCs w:val="22"/>
        </w:rPr>
      </w:pPr>
      <w:r w:rsidRPr="00924D0B">
        <w:rPr>
          <w:rFonts w:eastAsia="Times New Roman"/>
          <w:sz w:val="22"/>
          <w:szCs w:val="22"/>
        </w:rPr>
        <w:t>A</w:t>
      </w:r>
      <w:r w:rsidR="00B721E0" w:rsidRPr="00924D0B">
        <w:rPr>
          <w:rFonts w:eastAsia="Times New Roman"/>
          <w:sz w:val="22"/>
          <w:szCs w:val="22"/>
        </w:rPr>
        <w:t>n Equalities Impact Assessment is attached at Appendix 3.</w:t>
      </w:r>
    </w:p>
    <w:p w:rsidR="00B01DB9" w:rsidRPr="00924D0B" w:rsidRDefault="00B01DB9" w:rsidP="00B01DB9">
      <w:pPr>
        <w:pStyle w:val="ListParagraph"/>
        <w:ind w:left="1080"/>
        <w:rPr>
          <w:rFonts w:eastAsia="Times New Roman"/>
          <w:sz w:val="22"/>
          <w:szCs w:val="22"/>
        </w:rPr>
      </w:pPr>
    </w:p>
    <w:p w:rsidR="00B721E0" w:rsidRPr="00924D0B" w:rsidRDefault="00B721E0" w:rsidP="00B721E0">
      <w:pPr>
        <w:rPr>
          <w:rFonts w:eastAsia="Times New Roman"/>
          <w:b/>
          <w:sz w:val="22"/>
          <w:szCs w:val="22"/>
        </w:rPr>
      </w:pPr>
      <w:r w:rsidRPr="00924D0B">
        <w:rPr>
          <w:rFonts w:eastAsia="Times New Roman"/>
          <w:b/>
          <w:sz w:val="22"/>
          <w:szCs w:val="22"/>
        </w:rPr>
        <w:t>Legal Implications</w:t>
      </w:r>
    </w:p>
    <w:p w:rsidR="00B721E0" w:rsidRPr="00924D0B" w:rsidRDefault="00B721E0" w:rsidP="00B721E0">
      <w:pPr>
        <w:rPr>
          <w:rFonts w:eastAsia="Times New Roman"/>
          <w:b/>
          <w:sz w:val="22"/>
          <w:szCs w:val="22"/>
        </w:rPr>
      </w:pPr>
    </w:p>
    <w:p w:rsidR="00B721E0" w:rsidRDefault="00B01DB9" w:rsidP="00924D0B">
      <w:pPr>
        <w:pStyle w:val="ListParagraph"/>
        <w:numPr>
          <w:ilvl w:val="0"/>
          <w:numId w:val="22"/>
        </w:numPr>
        <w:rPr>
          <w:rFonts w:eastAsia="Times New Roman"/>
          <w:sz w:val="22"/>
          <w:szCs w:val="22"/>
          <w:lang w:val="en-US"/>
        </w:rPr>
      </w:pPr>
      <w:r w:rsidRPr="00924D0B">
        <w:rPr>
          <w:rFonts w:eastAsia="Times New Roman"/>
          <w:sz w:val="22"/>
          <w:szCs w:val="22"/>
          <w:lang w:val="en-US"/>
        </w:rPr>
        <w:t>There are no legal implications to report</w:t>
      </w:r>
    </w:p>
    <w:p w:rsidR="00322C24" w:rsidRDefault="00322C24" w:rsidP="00322C24">
      <w:pPr>
        <w:rPr>
          <w:rFonts w:eastAsia="Times New Roman"/>
          <w:sz w:val="22"/>
          <w:szCs w:val="22"/>
          <w:lang w:val="en-US"/>
        </w:rPr>
      </w:pPr>
    </w:p>
    <w:p w:rsidR="00322C24" w:rsidRDefault="00322C24" w:rsidP="00322C24">
      <w:pPr>
        <w:rPr>
          <w:rFonts w:eastAsia="Times New Roman"/>
          <w:sz w:val="22"/>
          <w:szCs w:val="22"/>
          <w:lang w:val="en-US"/>
        </w:rPr>
      </w:pPr>
    </w:p>
    <w:p w:rsidR="00322C24" w:rsidRPr="00B721E0" w:rsidRDefault="00322C24" w:rsidP="00322C24">
      <w:pPr>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322C24" w:rsidRPr="00B721E0" w:rsidTr="001427DB">
        <w:tc>
          <w:tcPr>
            <w:tcW w:w="8522" w:type="dxa"/>
          </w:tcPr>
          <w:p w:rsidR="00322C24" w:rsidRPr="00B721E0" w:rsidRDefault="00322C24" w:rsidP="001427DB">
            <w:pPr>
              <w:tabs>
                <w:tab w:val="left" w:pos="720"/>
                <w:tab w:val="left" w:pos="1440"/>
                <w:tab w:val="left" w:pos="2160"/>
                <w:tab w:val="left" w:pos="2880"/>
              </w:tabs>
              <w:rPr>
                <w:rFonts w:eastAsia="Times New Roman" w:cs="Times New Roman"/>
              </w:rPr>
            </w:pPr>
            <w:r w:rsidRPr="00B721E0">
              <w:rPr>
                <w:rFonts w:eastAsia="Times New Roman" w:cs="Times New Roman"/>
                <w:b/>
                <w:bCs/>
              </w:rPr>
              <w:t>Name and contact details of author:-</w:t>
            </w:r>
          </w:p>
        </w:tc>
      </w:tr>
      <w:tr w:rsidR="00322C24" w:rsidRPr="00B721E0" w:rsidTr="001427DB">
        <w:tc>
          <w:tcPr>
            <w:tcW w:w="8522" w:type="dxa"/>
          </w:tcPr>
          <w:p w:rsidR="00322C24" w:rsidRPr="00B721E0" w:rsidRDefault="00322C24" w:rsidP="001427D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 xml:space="preserve">Name     </w:t>
            </w:r>
            <w:r>
              <w:rPr>
                <w:rFonts w:eastAsia="Times New Roman" w:cs="Times New Roman"/>
                <w:sz w:val="22"/>
                <w:szCs w:val="22"/>
              </w:rPr>
              <w:t>Simon Howick</w:t>
            </w:r>
          </w:p>
        </w:tc>
      </w:tr>
      <w:tr w:rsidR="00322C24" w:rsidRPr="00B721E0" w:rsidTr="001427DB">
        <w:tc>
          <w:tcPr>
            <w:tcW w:w="8522" w:type="dxa"/>
          </w:tcPr>
          <w:p w:rsidR="00322C24" w:rsidRPr="00B721E0" w:rsidRDefault="00322C24" w:rsidP="001427D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 xml:space="preserve">Job title   </w:t>
            </w:r>
            <w:r>
              <w:rPr>
                <w:rFonts w:eastAsia="Times New Roman" w:cs="Times New Roman"/>
                <w:sz w:val="22"/>
                <w:szCs w:val="22"/>
              </w:rPr>
              <w:t>Head of HR &amp; Facilities</w:t>
            </w:r>
          </w:p>
        </w:tc>
      </w:tr>
      <w:tr w:rsidR="00322C24" w:rsidRPr="00B721E0" w:rsidTr="001427DB">
        <w:tc>
          <w:tcPr>
            <w:tcW w:w="8522" w:type="dxa"/>
          </w:tcPr>
          <w:p w:rsidR="00322C24" w:rsidRPr="00B721E0" w:rsidRDefault="00322C24" w:rsidP="001427D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Service Area / Department   HR &amp; Facilities</w:t>
            </w:r>
          </w:p>
        </w:tc>
      </w:tr>
      <w:tr w:rsidR="00322C24" w:rsidRPr="00B721E0" w:rsidTr="001427DB">
        <w:tc>
          <w:tcPr>
            <w:tcW w:w="8522" w:type="dxa"/>
          </w:tcPr>
          <w:p w:rsidR="00322C24" w:rsidRPr="00B721E0" w:rsidRDefault="00322C24" w:rsidP="001427DB">
            <w:pPr>
              <w:tabs>
                <w:tab w:val="left" w:pos="720"/>
                <w:tab w:val="left" w:pos="1440"/>
                <w:tab w:val="left" w:pos="2160"/>
                <w:tab w:val="left" w:pos="2880"/>
              </w:tabs>
              <w:rPr>
                <w:rFonts w:eastAsia="Times New Roman" w:cs="Times New Roman"/>
                <w:color w:val="0000FF"/>
                <w:sz w:val="22"/>
                <w:szCs w:val="22"/>
                <w:u w:val="single"/>
              </w:rPr>
            </w:pPr>
            <w:r>
              <w:rPr>
                <w:rFonts w:eastAsia="Times New Roman" w:cs="Times New Roman"/>
                <w:sz w:val="22"/>
                <w:szCs w:val="22"/>
              </w:rPr>
              <w:t>Tel:  01865 252547 e-mail: showick@oxford.gov.uk</w:t>
            </w:r>
          </w:p>
        </w:tc>
      </w:tr>
    </w:tbl>
    <w:p w:rsidR="00322C24" w:rsidRDefault="00322C24" w:rsidP="00322C24">
      <w:pPr>
        <w:rPr>
          <w:rFonts w:eastAsia="Times New Roman"/>
          <w:sz w:val="22"/>
          <w:szCs w:val="22"/>
          <w:lang w:val="en-US"/>
        </w:rPr>
      </w:pPr>
    </w:p>
    <w:p w:rsidR="00322C24" w:rsidRPr="00322C24" w:rsidRDefault="00322C24" w:rsidP="00322C24">
      <w:pPr>
        <w:rPr>
          <w:rFonts w:eastAsia="Times New Roman"/>
          <w:sz w:val="22"/>
          <w:szCs w:val="22"/>
          <w:lang w:val="en-US"/>
        </w:rPr>
      </w:pPr>
    </w:p>
    <w:p w:rsidR="00322C24" w:rsidRDefault="00322C24">
      <w:pPr>
        <w:rPr>
          <w:b/>
        </w:rPr>
      </w:pPr>
      <w:r>
        <w:rPr>
          <w:b/>
        </w:rPr>
        <w:br w:type="page"/>
      </w:r>
    </w:p>
    <w:p w:rsidR="00924D0B" w:rsidRDefault="00924D0B" w:rsidP="00FD2122">
      <w:pPr>
        <w:rPr>
          <w:b/>
        </w:rPr>
      </w:pPr>
    </w:p>
    <w:p w:rsidR="00FD2122" w:rsidRPr="00E6742A" w:rsidRDefault="00FD2122" w:rsidP="00322C24">
      <w:pPr>
        <w:jc w:val="right"/>
        <w:rPr>
          <w:b/>
        </w:rPr>
      </w:pPr>
      <w:r>
        <w:rPr>
          <w:b/>
        </w:rPr>
        <w:t xml:space="preserve">Appendix 1 </w:t>
      </w:r>
      <w:r w:rsidR="00924D0B">
        <w:rPr>
          <w:b/>
        </w:rPr>
        <w:t>–</w:t>
      </w:r>
      <w:r>
        <w:rPr>
          <w:b/>
        </w:rPr>
        <w:t xml:space="preserve"> </w:t>
      </w:r>
      <w:r w:rsidR="00924D0B">
        <w:rPr>
          <w:b/>
        </w:rPr>
        <w:t>Living Wage C</w:t>
      </w:r>
      <w:r>
        <w:rPr>
          <w:b/>
        </w:rPr>
        <w:t>alculations</w:t>
      </w:r>
    </w:p>
    <w:p w:rsidR="00FD2122" w:rsidRDefault="00FD2122" w:rsidP="00FD2122">
      <w:pPr>
        <w:rPr>
          <w:i/>
          <w:iCs/>
        </w:rPr>
      </w:pPr>
    </w:p>
    <w:p w:rsidR="00FD2122" w:rsidRDefault="00FD2122" w:rsidP="00FD2122">
      <w:pPr>
        <w:rPr>
          <w:b/>
          <w:bCs/>
          <w:i/>
          <w:iCs/>
        </w:rPr>
      </w:pPr>
      <w:r>
        <w:rPr>
          <w:b/>
          <w:bCs/>
          <w:i/>
          <w:iCs/>
        </w:rPr>
        <w:t xml:space="preserve">Calculating the </w:t>
      </w:r>
      <w:smartTag w:uri="urn:schemas-microsoft-com:office:smarttags" w:element="City">
        <w:smartTag w:uri="urn:schemas-microsoft-com:office:smarttags" w:element="place">
          <w:r>
            <w:rPr>
              <w:b/>
              <w:bCs/>
              <w:i/>
              <w:iCs/>
            </w:rPr>
            <w:t>London</w:t>
          </w:r>
        </w:smartTag>
      </w:smartTag>
      <w:r>
        <w:rPr>
          <w:b/>
          <w:bCs/>
          <w:i/>
          <w:iCs/>
        </w:rPr>
        <w:t xml:space="preserve"> Living Wage</w:t>
      </w:r>
    </w:p>
    <w:p w:rsidR="00322C24" w:rsidRDefault="00322C24" w:rsidP="00FD2122">
      <w:pPr>
        <w:rPr>
          <w:i/>
          <w:iCs/>
        </w:rPr>
      </w:pPr>
    </w:p>
    <w:p w:rsidR="00FD2122" w:rsidRDefault="00FD2122" w:rsidP="00FD2122">
      <w:pPr>
        <w:rPr>
          <w:i/>
          <w:iCs/>
        </w:rPr>
      </w:pPr>
      <w:r>
        <w:rPr>
          <w:i/>
          <w:iCs/>
        </w:rPr>
        <w:t xml:space="preserve">The London Living Wage is calculated by the GLA and based on a ‘poverty threshold wage’ plus 15%. This uses a combination of two approaches: </w:t>
      </w:r>
    </w:p>
    <w:p w:rsidR="00FD2122" w:rsidRDefault="00FD2122" w:rsidP="00FD2122">
      <w:pPr>
        <w:rPr>
          <w:i/>
          <w:iCs/>
        </w:rPr>
      </w:pPr>
    </w:p>
    <w:p w:rsidR="00FD2122" w:rsidRDefault="00FD2122" w:rsidP="00FD2122">
      <w:pPr>
        <w:numPr>
          <w:ilvl w:val="0"/>
          <w:numId w:val="17"/>
        </w:numPr>
        <w:autoSpaceDE w:val="0"/>
        <w:autoSpaceDN w:val="0"/>
        <w:rPr>
          <w:rFonts w:ascii="FoundryFormSans" w:eastAsia="Times New Roman" w:hAnsi="FoundryFormSans" w:cs="Times New Roman"/>
          <w:i/>
          <w:iCs/>
          <w:color w:val="231F20"/>
        </w:rPr>
      </w:pPr>
      <w:r>
        <w:rPr>
          <w:rFonts w:eastAsia="Times New Roman"/>
          <w:i/>
          <w:iCs/>
        </w:rPr>
        <w:t>An estimate of the costs of a ‘low cost but acceptable’ budget for a selection of households – and calculates a wage required to meet those costs. The calculation reflects ‘</w:t>
      </w:r>
      <w:r>
        <w:rPr>
          <w:rFonts w:ascii="FoundryFormSans" w:eastAsia="Times New Roman" w:hAnsi="FoundryFormSans"/>
          <w:i/>
          <w:iCs/>
          <w:color w:val="231F20"/>
        </w:rPr>
        <w:t>a wage that achieves an adequate level of warmth and shelter, a healthy palatable diet, social integration and avoidance of chronic stress for earners and their dependents</w:t>
      </w:r>
    </w:p>
    <w:p w:rsidR="00FD2122" w:rsidRDefault="00FD2122" w:rsidP="00FD2122">
      <w:pPr>
        <w:numPr>
          <w:ilvl w:val="0"/>
          <w:numId w:val="18"/>
        </w:numPr>
        <w:rPr>
          <w:rFonts w:eastAsia="Times New Roman"/>
          <w:i/>
          <w:iCs/>
        </w:rPr>
      </w:pPr>
      <w:r>
        <w:rPr>
          <w:rFonts w:eastAsia="Times New Roman"/>
          <w:i/>
          <w:iCs/>
        </w:rPr>
        <w:t xml:space="preserve">Income distribution – which takes the median income in </w:t>
      </w:r>
      <w:smartTag w:uri="urn:schemas-microsoft-com:office:smarttags" w:element="City">
        <w:smartTag w:uri="urn:schemas-microsoft-com:office:smarttags" w:element="place">
          <w:r>
            <w:rPr>
              <w:rFonts w:eastAsia="Times New Roman"/>
              <w:i/>
              <w:iCs/>
            </w:rPr>
            <w:t>London</w:t>
          </w:r>
        </w:smartTag>
      </w:smartTag>
      <w:r>
        <w:rPr>
          <w:rFonts w:eastAsia="Times New Roman"/>
          <w:i/>
          <w:iCs/>
        </w:rPr>
        <w:t xml:space="preserve"> across 11 household types and takes 60% of it</w:t>
      </w:r>
    </w:p>
    <w:p w:rsidR="00FD2122" w:rsidRDefault="00FD2122" w:rsidP="00FD2122">
      <w:pPr>
        <w:rPr>
          <w:i/>
          <w:iCs/>
        </w:rPr>
      </w:pPr>
    </w:p>
    <w:p w:rsidR="00FD2122" w:rsidRDefault="00FD2122" w:rsidP="00FD2122">
      <w:pPr>
        <w:rPr>
          <w:i/>
          <w:iCs/>
        </w:rPr>
      </w:pPr>
      <w:r>
        <w:rPr>
          <w:i/>
          <w:iCs/>
        </w:rPr>
        <w:t>The average of these two wages is the ‘poverty threshold wage’. The calculation takes into account means-tested benefits</w:t>
      </w:r>
    </w:p>
    <w:p w:rsidR="00FD2122" w:rsidRDefault="00FD2122" w:rsidP="00FD2122">
      <w:pPr>
        <w:rPr>
          <w:i/>
          <w:iCs/>
        </w:rPr>
      </w:pPr>
    </w:p>
    <w:p w:rsidR="00FD2122" w:rsidRDefault="00FD2122" w:rsidP="00FD2122">
      <w:pPr>
        <w:rPr>
          <w:b/>
          <w:bCs/>
          <w:i/>
          <w:iCs/>
        </w:rPr>
      </w:pPr>
      <w:r>
        <w:rPr>
          <w:b/>
          <w:bCs/>
          <w:i/>
          <w:iCs/>
        </w:rPr>
        <w:t xml:space="preserve">Calculating the </w:t>
      </w:r>
      <w:smartTag w:uri="urn:schemas-microsoft-com:office:smarttags" w:element="country-region">
        <w:smartTag w:uri="urn:schemas-microsoft-com:office:smarttags" w:element="place">
          <w:r>
            <w:rPr>
              <w:b/>
              <w:bCs/>
              <w:i/>
              <w:iCs/>
            </w:rPr>
            <w:t>UK</w:t>
          </w:r>
        </w:smartTag>
      </w:smartTag>
      <w:r>
        <w:rPr>
          <w:b/>
          <w:bCs/>
          <w:i/>
          <w:iCs/>
        </w:rPr>
        <w:t xml:space="preserve"> Living Wage</w:t>
      </w:r>
    </w:p>
    <w:p w:rsidR="00322C24" w:rsidRDefault="00322C24" w:rsidP="00FD2122">
      <w:pPr>
        <w:rPr>
          <w:i/>
          <w:iCs/>
        </w:rPr>
      </w:pPr>
    </w:p>
    <w:p w:rsidR="00FD2122" w:rsidRDefault="00FD2122" w:rsidP="00FD2122">
      <w:pPr>
        <w:rPr>
          <w:i/>
          <w:iCs/>
        </w:rPr>
      </w:pPr>
      <w:r>
        <w:rPr>
          <w:i/>
          <w:iCs/>
        </w:rPr>
        <w:t>The UK Living Wage is calculated annually by the Centre for Research in Social Policy at Loughborough University, drawing on the Minimum Income Standard for the UK. The calculation begins with assessing minimum living costs in the current year, translated into a wage requirement and then consideration given to applying any cap limiting the increase in any one year.</w:t>
      </w:r>
    </w:p>
    <w:p w:rsidR="00FD2122" w:rsidRDefault="00FD2122" w:rsidP="00FD2122">
      <w:pPr>
        <w:rPr>
          <w:i/>
          <w:iCs/>
        </w:rPr>
      </w:pPr>
    </w:p>
    <w:p w:rsidR="00FD2122" w:rsidRDefault="00FD2122" w:rsidP="00FD2122">
      <w:pPr>
        <w:rPr>
          <w:i/>
          <w:iCs/>
        </w:rPr>
      </w:pPr>
      <w:r>
        <w:rPr>
          <w:i/>
          <w:iCs/>
        </w:rPr>
        <w:t xml:space="preserve">The Minimum Income Standard identifies minimum costs for each of 9 different household types (e.g. single, couple, lone parent, </w:t>
      </w:r>
      <w:r w:rsidR="00E96EA3">
        <w:rPr>
          <w:i/>
          <w:iCs/>
        </w:rPr>
        <w:t>etc.</w:t>
      </w:r>
      <w:r>
        <w:rPr>
          <w:i/>
          <w:iCs/>
        </w:rPr>
        <w:t>), excluding rent, council tax and childcare (see below) with items identifies by members of the public as priced at national chain stores.</w:t>
      </w:r>
    </w:p>
    <w:p w:rsidR="00FD2122" w:rsidRDefault="00FD2122" w:rsidP="00FD2122">
      <w:pPr>
        <w:rPr>
          <w:i/>
          <w:iCs/>
        </w:rPr>
      </w:pPr>
    </w:p>
    <w:p w:rsidR="00FD2122" w:rsidRDefault="00FD2122" w:rsidP="00FD2122">
      <w:pPr>
        <w:rPr>
          <w:i/>
          <w:iCs/>
        </w:rPr>
      </w:pPr>
      <w:r>
        <w:rPr>
          <w:i/>
          <w:iCs/>
        </w:rPr>
        <w:t>Rent, council tax and childcare costs are then factored in. A single living wage is calculated by determining a weighted average across the different household types</w:t>
      </w:r>
    </w:p>
    <w:p w:rsidR="00FD2122" w:rsidRDefault="00FD2122" w:rsidP="00FD2122">
      <w:pPr>
        <w:rPr>
          <w:i/>
          <w:iCs/>
        </w:rPr>
      </w:pPr>
    </w:p>
    <w:p w:rsidR="00FD2122" w:rsidRDefault="00FD2122" w:rsidP="00FD2122">
      <w:pPr>
        <w:rPr>
          <w:i/>
          <w:iCs/>
        </w:rPr>
      </w:pPr>
      <w:r>
        <w:rPr>
          <w:i/>
          <w:iCs/>
        </w:rPr>
        <w:t>Consideration is given to capping any increase as this is considered necessary to make payments affordable.</w:t>
      </w:r>
    </w:p>
    <w:p w:rsidR="00B721E0" w:rsidRPr="00B721E0" w:rsidRDefault="00B721E0" w:rsidP="00B721E0">
      <w:pPr>
        <w:rPr>
          <w:rFonts w:eastAsia="Calibri"/>
          <w:sz w:val="22"/>
          <w:szCs w:val="22"/>
        </w:rPr>
      </w:pPr>
    </w:p>
    <w:p w:rsidR="00B721E0" w:rsidRPr="00B721E0" w:rsidRDefault="00B721E0" w:rsidP="00B721E0">
      <w:pPr>
        <w:rPr>
          <w:rFonts w:eastAsia="Calibri"/>
          <w:b/>
          <w:sz w:val="28"/>
          <w:szCs w:val="28"/>
        </w:rPr>
      </w:pPr>
    </w:p>
    <w:p w:rsidR="00782A96" w:rsidRDefault="00782A96" w:rsidP="00B721E0">
      <w:pPr>
        <w:rPr>
          <w:rFonts w:eastAsia="Calibri"/>
          <w:b/>
          <w:sz w:val="28"/>
          <w:szCs w:val="28"/>
        </w:rPr>
      </w:pPr>
    </w:p>
    <w:p w:rsidR="00782A96" w:rsidRDefault="00782A96" w:rsidP="00B721E0">
      <w:pPr>
        <w:rPr>
          <w:rFonts w:eastAsia="Calibri"/>
          <w:b/>
          <w:sz w:val="28"/>
          <w:szCs w:val="28"/>
        </w:rPr>
      </w:pPr>
    </w:p>
    <w:p w:rsidR="00B721E0" w:rsidRPr="00B721E0" w:rsidRDefault="00B721E0" w:rsidP="00B721E0">
      <w:pPr>
        <w:rPr>
          <w:rFonts w:eastAsia="Calibri"/>
          <w:sz w:val="22"/>
          <w:szCs w:val="22"/>
        </w:rPr>
        <w:sectPr w:rsidR="00B721E0" w:rsidRPr="00B721E0" w:rsidSect="00C56C88">
          <w:footerReference w:type="default" r:id="rId11"/>
          <w:pgSz w:w="11906" w:h="16838"/>
          <w:pgMar w:top="1134" w:right="1134" w:bottom="1134" w:left="1134" w:header="709" w:footer="17" w:gutter="0"/>
          <w:cols w:space="708"/>
          <w:docGrid w:linePitch="360"/>
        </w:sectPr>
      </w:pPr>
    </w:p>
    <w:p w:rsidR="00B721E0" w:rsidRPr="00B721E0" w:rsidRDefault="00B721E0" w:rsidP="00322C24">
      <w:pPr>
        <w:jc w:val="right"/>
        <w:rPr>
          <w:rFonts w:eastAsia="Times New Roman" w:cs="Times New Roman"/>
          <w:b/>
          <w:color w:val="000000"/>
          <w:szCs w:val="20"/>
        </w:rPr>
      </w:pPr>
      <w:r w:rsidRPr="00B721E0">
        <w:rPr>
          <w:rFonts w:eastAsia="Times New Roman" w:cs="Times New Roman"/>
          <w:b/>
          <w:color w:val="000000"/>
          <w:szCs w:val="20"/>
        </w:rPr>
        <w:lastRenderedPageBreak/>
        <w:t>Appendix 2 – Risk Register &amp; Action Plan</w:t>
      </w:r>
      <w:r w:rsidR="00924D0B">
        <w:rPr>
          <w:rFonts w:eastAsia="Times New Roman" w:cs="Times New Roman"/>
          <w:b/>
          <w:color w:val="000000"/>
          <w:szCs w:val="20"/>
        </w:rPr>
        <w:t xml:space="preserve"> – Living Wage Uplift</w:t>
      </w:r>
    </w:p>
    <w:p w:rsidR="00B721E0" w:rsidRPr="00B721E0" w:rsidRDefault="00B721E0" w:rsidP="00B721E0">
      <w:pPr>
        <w:rPr>
          <w:rFonts w:eastAsia="Times New Roman" w:cs="Times New Roman"/>
          <w:b/>
          <w:color w:val="000000"/>
          <w:szCs w:val="20"/>
        </w:rPr>
      </w:pPr>
    </w:p>
    <w:tbl>
      <w:tblPr>
        <w:tblW w:w="5000" w:type="pct"/>
        <w:tblLayout w:type="fixed"/>
        <w:tblCellMar>
          <w:left w:w="0" w:type="dxa"/>
          <w:right w:w="0" w:type="dxa"/>
        </w:tblCellMar>
        <w:tblLook w:val="0000" w:firstRow="0" w:lastRow="0" w:firstColumn="0" w:lastColumn="0" w:noHBand="0" w:noVBand="0"/>
      </w:tblPr>
      <w:tblGrid>
        <w:gridCol w:w="983"/>
        <w:gridCol w:w="1198"/>
        <w:gridCol w:w="721"/>
        <w:gridCol w:w="1826"/>
        <w:gridCol w:w="1700"/>
        <w:gridCol w:w="1630"/>
        <w:gridCol w:w="637"/>
        <w:gridCol w:w="1008"/>
        <w:gridCol w:w="310"/>
        <w:gridCol w:w="315"/>
        <w:gridCol w:w="441"/>
        <w:gridCol w:w="441"/>
        <w:gridCol w:w="386"/>
        <w:gridCol w:w="386"/>
        <w:gridCol w:w="794"/>
        <w:gridCol w:w="847"/>
        <w:gridCol w:w="981"/>
      </w:tblGrid>
      <w:tr w:rsidR="00B721E0" w:rsidRPr="00B721E0" w:rsidTr="002C621A">
        <w:trPr>
          <w:trHeight w:val="1320"/>
        </w:trPr>
        <w:tc>
          <w:tcPr>
            <w:tcW w:w="337" w:type="pct"/>
            <w:tcBorders>
              <w:top w:val="single" w:sz="8" w:space="0" w:color="auto"/>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ID</w:t>
            </w:r>
          </w:p>
        </w:tc>
        <w:tc>
          <w:tcPr>
            <w:tcW w:w="2640" w:type="pct"/>
            <w:gridSpan w:val="6"/>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w:t>
            </w:r>
          </w:p>
        </w:tc>
        <w:tc>
          <w:tcPr>
            <w:tcW w:w="345" w:type="pct"/>
            <w:tcBorders>
              <w:top w:val="single" w:sz="8" w:space="0" w:color="auto"/>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Corporate Objective</w:t>
            </w:r>
          </w:p>
        </w:tc>
        <w:tc>
          <w:tcPr>
            <w:tcW w:w="214"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Gross Risk</w:t>
            </w:r>
          </w:p>
        </w:tc>
        <w:tc>
          <w:tcPr>
            <w:tcW w:w="302"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Residual  Risk</w:t>
            </w:r>
          </w:p>
        </w:tc>
        <w:tc>
          <w:tcPr>
            <w:tcW w:w="264"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Current Risk</w:t>
            </w:r>
          </w:p>
        </w:tc>
        <w:tc>
          <w:tcPr>
            <w:tcW w:w="272" w:type="pct"/>
            <w:tcBorders>
              <w:top w:val="single" w:sz="8" w:space="0" w:color="auto"/>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jc w:val="center"/>
              <w:rPr>
                <w:rFonts w:eastAsia="Arial Unicode MS"/>
                <w:b/>
                <w:bCs/>
                <w:sz w:val="20"/>
                <w:szCs w:val="20"/>
              </w:rPr>
            </w:pPr>
            <w:r w:rsidRPr="00B721E0">
              <w:rPr>
                <w:rFonts w:eastAsia="Times New Roman"/>
                <w:b/>
                <w:bCs/>
                <w:sz w:val="20"/>
                <w:szCs w:val="20"/>
              </w:rPr>
              <w:t>Owner</w:t>
            </w:r>
          </w:p>
        </w:tc>
        <w:tc>
          <w:tcPr>
            <w:tcW w:w="290" w:type="pct"/>
            <w:tcBorders>
              <w:top w:val="single" w:sz="8" w:space="0" w:color="auto"/>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jc w:val="center"/>
              <w:rPr>
                <w:rFonts w:eastAsia="Arial Unicode MS"/>
                <w:b/>
                <w:bCs/>
                <w:sz w:val="20"/>
                <w:szCs w:val="20"/>
              </w:rPr>
            </w:pPr>
            <w:r w:rsidRPr="00B721E0">
              <w:rPr>
                <w:rFonts w:eastAsia="Times New Roman"/>
                <w:b/>
                <w:bCs/>
                <w:sz w:val="20"/>
                <w:szCs w:val="20"/>
              </w:rPr>
              <w:t xml:space="preserve">Date Risk Reviewed </w:t>
            </w:r>
          </w:p>
        </w:tc>
        <w:tc>
          <w:tcPr>
            <w:tcW w:w="336" w:type="pct"/>
            <w:tcBorders>
              <w:top w:val="single" w:sz="8" w:space="0" w:color="auto"/>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Proximity of Risk (Projects/ Contracts Only)</w:t>
            </w:r>
          </w:p>
        </w:tc>
      </w:tr>
      <w:tr w:rsidR="00B721E0" w:rsidRPr="00B721E0" w:rsidTr="002C621A">
        <w:trPr>
          <w:trHeight w:val="1290"/>
        </w:trPr>
        <w:tc>
          <w:tcPr>
            <w:tcW w:w="337" w:type="pct"/>
            <w:tcBorders>
              <w:top w:val="nil"/>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Category-000-Service Area Code</w:t>
            </w:r>
          </w:p>
        </w:tc>
        <w:tc>
          <w:tcPr>
            <w:tcW w:w="410" w:type="pct"/>
            <w:tcBorders>
              <w:top w:val="nil"/>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Title</w:t>
            </w:r>
          </w:p>
        </w:tc>
        <w:tc>
          <w:tcPr>
            <w:tcW w:w="247" w:type="pct"/>
            <w:tcBorders>
              <w:top w:val="nil"/>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Opportunity/Threat</w:t>
            </w:r>
          </w:p>
        </w:tc>
        <w:tc>
          <w:tcPr>
            <w:tcW w:w="625" w:type="pct"/>
            <w:tcBorders>
              <w:top w:val="nil"/>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Description</w:t>
            </w:r>
          </w:p>
        </w:tc>
        <w:tc>
          <w:tcPr>
            <w:tcW w:w="582" w:type="pct"/>
            <w:tcBorders>
              <w:top w:val="nil"/>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Cause</w:t>
            </w:r>
          </w:p>
        </w:tc>
        <w:tc>
          <w:tcPr>
            <w:tcW w:w="558" w:type="pct"/>
            <w:tcBorders>
              <w:top w:val="nil"/>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Consequence</w:t>
            </w:r>
          </w:p>
        </w:tc>
        <w:tc>
          <w:tcPr>
            <w:tcW w:w="218"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Date raised</w:t>
            </w:r>
          </w:p>
        </w:tc>
        <w:tc>
          <w:tcPr>
            <w:tcW w:w="345"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2C621A" w:rsidP="00B721E0">
            <w:pPr>
              <w:rPr>
                <w:rFonts w:eastAsia="Arial Unicode MS"/>
                <w:b/>
                <w:bCs/>
                <w:sz w:val="20"/>
                <w:szCs w:val="20"/>
              </w:rPr>
            </w:pPr>
            <w:r>
              <w:rPr>
                <w:rFonts w:eastAsia="Times New Roman"/>
                <w:b/>
                <w:bCs/>
                <w:sz w:val="20"/>
                <w:szCs w:val="20"/>
              </w:rPr>
              <w:t>1 to 5</w:t>
            </w:r>
          </w:p>
        </w:tc>
        <w:tc>
          <w:tcPr>
            <w:tcW w:w="106" w:type="pct"/>
            <w:tcBorders>
              <w:top w:val="nil"/>
              <w:left w:val="nil"/>
              <w:bottom w:val="single" w:sz="8" w:space="0" w:color="auto"/>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08" w:type="pct"/>
            <w:tcBorders>
              <w:top w:val="nil"/>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151" w:type="pct"/>
            <w:tcBorders>
              <w:top w:val="nil"/>
              <w:left w:val="nil"/>
              <w:bottom w:val="single" w:sz="8" w:space="0" w:color="auto"/>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51" w:type="pct"/>
            <w:tcBorders>
              <w:top w:val="nil"/>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132"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32"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272"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c>
          <w:tcPr>
            <w:tcW w:w="290"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c>
          <w:tcPr>
            <w:tcW w:w="336"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r>
      <w:tr w:rsidR="00B721E0" w:rsidRPr="00B721E0" w:rsidTr="002C621A">
        <w:trPr>
          <w:trHeight w:val="255"/>
        </w:trPr>
        <w:tc>
          <w:tcPr>
            <w:tcW w:w="33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721E0" w:rsidRPr="00B721E0" w:rsidRDefault="00E063E6" w:rsidP="00B721E0">
            <w:pPr>
              <w:rPr>
                <w:rFonts w:eastAsia="Times New Roman"/>
                <w:sz w:val="20"/>
                <w:szCs w:val="20"/>
              </w:rPr>
            </w:pPr>
            <w:r>
              <w:rPr>
                <w:rFonts w:eastAsia="Times New Roman"/>
                <w:sz w:val="20"/>
                <w:szCs w:val="20"/>
              </w:rPr>
              <w:t>HR001</w:t>
            </w:r>
          </w:p>
        </w:tc>
        <w:tc>
          <w:tcPr>
            <w:tcW w:w="41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6C7DB7" w:rsidP="00B721E0">
            <w:pPr>
              <w:rPr>
                <w:rFonts w:eastAsia="Times New Roman"/>
                <w:sz w:val="20"/>
                <w:szCs w:val="20"/>
              </w:rPr>
            </w:pPr>
            <w:r>
              <w:rPr>
                <w:rFonts w:eastAsia="Times New Roman"/>
                <w:sz w:val="20"/>
                <w:szCs w:val="20"/>
              </w:rPr>
              <w:t>Community impact</w:t>
            </w:r>
          </w:p>
        </w:tc>
        <w:tc>
          <w:tcPr>
            <w:tcW w:w="2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063E6" w:rsidP="00B721E0">
            <w:pPr>
              <w:rPr>
                <w:rFonts w:eastAsia="Times New Roman"/>
                <w:sz w:val="20"/>
                <w:szCs w:val="20"/>
              </w:rPr>
            </w:pPr>
            <w:r>
              <w:rPr>
                <w:rFonts w:eastAsia="Times New Roman"/>
                <w:sz w:val="20"/>
                <w:szCs w:val="20"/>
              </w:rPr>
              <w:t>T</w:t>
            </w:r>
          </w:p>
        </w:tc>
        <w:tc>
          <w:tcPr>
            <w:tcW w:w="62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6C7DB7" w:rsidP="002C621A">
            <w:pPr>
              <w:rPr>
                <w:rFonts w:eastAsia="Times New Roman"/>
                <w:sz w:val="20"/>
                <w:szCs w:val="20"/>
              </w:rPr>
            </w:pPr>
            <w:r>
              <w:rPr>
                <w:rFonts w:eastAsia="Times New Roman"/>
                <w:sz w:val="20"/>
                <w:szCs w:val="20"/>
              </w:rPr>
              <w:t xml:space="preserve">Benefit of Oxford Living Wage diminished </w:t>
            </w:r>
          </w:p>
        </w:tc>
        <w:tc>
          <w:tcPr>
            <w:tcW w:w="58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 xml:space="preserve">Not uplifting the OLW to take account of future increases to cost of living, etc. </w:t>
            </w:r>
          </w:p>
        </w:tc>
        <w:tc>
          <w:tcPr>
            <w:tcW w:w="558" w:type="pct"/>
            <w:tcBorders>
              <w:top w:val="single" w:sz="8"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OLW is worth less adversely impacting income of recipients</w:t>
            </w:r>
          </w:p>
        </w:tc>
        <w:tc>
          <w:tcPr>
            <w:tcW w:w="21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19/11/13</w:t>
            </w:r>
          </w:p>
        </w:tc>
        <w:tc>
          <w:tcPr>
            <w:tcW w:w="345"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5</w:t>
            </w:r>
          </w:p>
        </w:tc>
        <w:tc>
          <w:tcPr>
            <w:tcW w:w="106"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2</w:t>
            </w:r>
          </w:p>
        </w:tc>
        <w:tc>
          <w:tcPr>
            <w:tcW w:w="10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4</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1</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1</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2</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2C621A" w:rsidP="00B721E0">
            <w:pPr>
              <w:rPr>
                <w:rFonts w:eastAsia="Times New Roman"/>
                <w:sz w:val="20"/>
                <w:szCs w:val="20"/>
              </w:rPr>
            </w:pPr>
            <w:r>
              <w:rPr>
                <w:rFonts w:eastAsia="Times New Roman"/>
                <w:sz w:val="20"/>
                <w:szCs w:val="20"/>
              </w:rPr>
              <w:t>4</w:t>
            </w:r>
          </w:p>
        </w:tc>
        <w:tc>
          <w:tcPr>
            <w:tcW w:w="272"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2C621A" w:rsidP="002C621A">
            <w:pPr>
              <w:rPr>
                <w:rFonts w:eastAsia="Times New Roman"/>
                <w:sz w:val="20"/>
                <w:szCs w:val="20"/>
              </w:rPr>
            </w:pPr>
            <w:r>
              <w:rPr>
                <w:rFonts w:eastAsia="Times New Roman"/>
                <w:sz w:val="20"/>
                <w:szCs w:val="20"/>
              </w:rPr>
              <w:t>SMH</w:t>
            </w:r>
          </w:p>
        </w:tc>
        <w:tc>
          <w:tcPr>
            <w:tcW w:w="290"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c>
          <w:tcPr>
            <w:tcW w:w="336"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r>
      <w:tr w:rsidR="002C621A" w:rsidRPr="00B721E0" w:rsidTr="002C621A">
        <w:trPr>
          <w:trHeight w:val="255"/>
        </w:trPr>
        <w:tc>
          <w:tcPr>
            <w:tcW w:w="33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HR002</w:t>
            </w:r>
          </w:p>
        </w:tc>
        <w:tc>
          <w:tcPr>
            <w:tcW w:w="41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Council reputation</w:t>
            </w:r>
          </w:p>
        </w:tc>
        <w:tc>
          <w:tcPr>
            <w:tcW w:w="2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T</w:t>
            </w:r>
          </w:p>
        </w:tc>
        <w:tc>
          <w:tcPr>
            <w:tcW w:w="62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OLW discredited as value diminished</w:t>
            </w:r>
          </w:p>
        </w:tc>
        <w:tc>
          <w:tcPr>
            <w:tcW w:w="58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C621A" w:rsidRPr="00B721E0" w:rsidRDefault="002C621A" w:rsidP="00897C7D">
            <w:pPr>
              <w:rPr>
                <w:rFonts w:eastAsia="Times New Roman"/>
                <w:sz w:val="20"/>
                <w:szCs w:val="20"/>
              </w:rPr>
            </w:pPr>
            <w:r>
              <w:rPr>
                <w:rFonts w:eastAsia="Times New Roman"/>
                <w:sz w:val="20"/>
                <w:szCs w:val="20"/>
              </w:rPr>
              <w:t xml:space="preserve">Not uplifting the OLW to take account of future increases to cost of living, etc. </w:t>
            </w:r>
          </w:p>
        </w:tc>
        <w:tc>
          <w:tcPr>
            <w:tcW w:w="558" w:type="pct"/>
            <w:tcBorders>
              <w:top w:val="single" w:sz="8" w:space="0" w:color="auto"/>
              <w:left w:val="nil"/>
              <w:bottom w:val="single" w:sz="4" w:space="0" w:color="auto"/>
              <w:right w:val="single" w:sz="4" w:space="0" w:color="auto"/>
            </w:tcBorders>
            <w:tcMar>
              <w:top w:w="17" w:type="dxa"/>
              <w:left w:w="17" w:type="dxa"/>
              <w:bottom w:w="0" w:type="dxa"/>
              <w:right w:w="17" w:type="dxa"/>
            </w:tcMar>
          </w:tcPr>
          <w:p w:rsidR="002C621A" w:rsidRPr="00B721E0" w:rsidRDefault="002C621A" w:rsidP="00897C7D">
            <w:pPr>
              <w:rPr>
                <w:rFonts w:eastAsia="Times New Roman"/>
                <w:sz w:val="20"/>
                <w:szCs w:val="20"/>
              </w:rPr>
            </w:pPr>
            <w:r>
              <w:rPr>
                <w:rFonts w:eastAsia="Times New Roman"/>
                <w:sz w:val="20"/>
                <w:szCs w:val="20"/>
              </w:rPr>
              <w:t>Council reputation impacted as OLW not maintained at an appropriate rate, loss of LW accreditation</w:t>
            </w:r>
          </w:p>
        </w:tc>
        <w:tc>
          <w:tcPr>
            <w:tcW w:w="218"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19/11/13</w:t>
            </w:r>
          </w:p>
        </w:tc>
        <w:tc>
          <w:tcPr>
            <w:tcW w:w="345"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5</w:t>
            </w:r>
          </w:p>
        </w:tc>
        <w:tc>
          <w:tcPr>
            <w:tcW w:w="106"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108"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2C621A" w:rsidRPr="00B721E0" w:rsidRDefault="002C621A" w:rsidP="00B721E0">
            <w:pPr>
              <w:rPr>
                <w:rFonts w:eastAsia="Times New Roman"/>
                <w:sz w:val="20"/>
                <w:szCs w:val="20"/>
              </w:rPr>
            </w:pPr>
          </w:p>
        </w:tc>
        <w:tc>
          <w:tcPr>
            <w:tcW w:w="272" w:type="pct"/>
            <w:tcBorders>
              <w:top w:val="nil"/>
              <w:left w:val="nil"/>
              <w:bottom w:val="single" w:sz="4" w:space="0" w:color="auto"/>
              <w:right w:val="single" w:sz="4" w:space="0" w:color="auto"/>
            </w:tcBorders>
            <w:noWrap/>
            <w:tcMar>
              <w:top w:w="17" w:type="dxa"/>
              <w:left w:w="17" w:type="dxa"/>
              <w:bottom w:w="0" w:type="dxa"/>
              <w:right w:w="17" w:type="dxa"/>
            </w:tcMar>
          </w:tcPr>
          <w:p w:rsidR="002C621A" w:rsidRPr="00B721E0" w:rsidRDefault="002C621A" w:rsidP="00B721E0">
            <w:pPr>
              <w:rPr>
                <w:rFonts w:eastAsia="Times New Roman"/>
                <w:sz w:val="20"/>
                <w:szCs w:val="20"/>
              </w:rPr>
            </w:pPr>
            <w:r>
              <w:rPr>
                <w:rFonts w:eastAsia="Times New Roman"/>
                <w:sz w:val="20"/>
                <w:szCs w:val="20"/>
              </w:rPr>
              <w:t>SMH</w:t>
            </w:r>
          </w:p>
        </w:tc>
        <w:tc>
          <w:tcPr>
            <w:tcW w:w="290" w:type="pct"/>
            <w:tcBorders>
              <w:top w:val="nil"/>
              <w:left w:val="nil"/>
              <w:bottom w:val="single" w:sz="4" w:space="0" w:color="auto"/>
              <w:right w:val="single" w:sz="4" w:space="0" w:color="auto"/>
            </w:tcBorders>
            <w:noWrap/>
            <w:tcMar>
              <w:top w:w="17" w:type="dxa"/>
              <w:left w:w="17" w:type="dxa"/>
              <w:bottom w:w="0" w:type="dxa"/>
              <w:right w:w="17" w:type="dxa"/>
            </w:tcMar>
          </w:tcPr>
          <w:p w:rsidR="002C621A" w:rsidRPr="00B721E0" w:rsidRDefault="002C621A" w:rsidP="00B721E0">
            <w:pPr>
              <w:rPr>
                <w:rFonts w:eastAsia="Times New Roman"/>
                <w:sz w:val="20"/>
                <w:szCs w:val="20"/>
              </w:rPr>
            </w:pPr>
          </w:p>
        </w:tc>
        <w:tc>
          <w:tcPr>
            <w:tcW w:w="336" w:type="pct"/>
            <w:tcBorders>
              <w:top w:val="nil"/>
              <w:left w:val="nil"/>
              <w:bottom w:val="single" w:sz="4" w:space="0" w:color="auto"/>
              <w:right w:val="single" w:sz="4" w:space="0" w:color="auto"/>
            </w:tcBorders>
            <w:noWrap/>
            <w:tcMar>
              <w:top w:w="17" w:type="dxa"/>
              <w:left w:w="17" w:type="dxa"/>
              <w:bottom w:w="0" w:type="dxa"/>
              <w:right w:w="17" w:type="dxa"/>
            </w:tcMar>
          </w:tcPr>
          <w:p w:rsidR="002C621A" w:rsidRPr="00B721E0" w:rsidRDefault="002C621A" w:rsidP="00B721E0">
            <w:pPr>
              <w:rPr>
                <w:rFonts w:eastAsia="Times New Roman"/>
                <w:sz w:val="20"/>
                <w:szCs w:val="20"/>
              </w:rPr>
            </w:pPr>
          </w:p>
        </w:tc>
      </w:tr>
      <w:tr w:rsidR="00B721E0" w:rsidRPr="00B721E0" w:rsidTr="002C621A">
        <w:trPr>
          <w:trHeight w:val="255"/>
        </w:trPr>
        <w:tc>
          <w:tcPr>
            <w:tcW w:w="33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HR003</w:t>
            </w:r>
          </w:p>
        </w:tc>
        <w:tc>
          <w:tcPr>
            <w:tcW w:w="41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Selling services</w:t>
            </w:r>
          </w:p>
        </w:tc>
        <w:tc>
          <w:tcPr>
            <w:tcW w:w="2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T</w:t>
            </w:r>
          </w:p>
        </w:tc>
        <w:tc>
          <w:tcPr>
            <w:tcW w:w="62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OLW reduces the Council’s ability to sell services</w:t>
            </w:r>
          </w:p>
        </w:tc>
        <w:tc>
          <w:tcPr>
            <w:tcW w:w="58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Paying the OLW means the Council is less competitive when bidding to provide services commercially</w:t>
            </w:r>
          </w:p>
        </w:tc>
        <w:tc>
          <w:tcPr>
            <w:tcW w:w="558" w:type="pct"/>
            <w:tcBorders>
              <w:top w:val="single" w:sz="8"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Less income</w:t>
            </w:r>
          </w:p>
        </w:tc>
        <w:tc>
          <w:tcPr>
            <w:tcW w:w="21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19/11/13</w:t>
            </w:r>
          </w:p>
        </w:tc>
        <w:tc>
          <w:tcPr>
            <w:tcW w:w="345"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5</w:t>
            </w:r>
          </w:p>
        </w:tc>
        <w:tc>
          <w:tcPr>
            <w:tcW w:w="106"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3</w:t>
            </w:r>
          </w:p>
        </w:tc>
        <w:tc>
          <w:tcPr>
            <w:tcW w:w="10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3</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2</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2</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3</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3</w:t>
            </w:r>
          </w:p>
        </w:tc>
        <w:tc>
          <w:tcPr>
            <w:tcW w:w="272"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E105DC" w:rsidP="00B721E0">
            <w:pPr>
              <w:rPr>
                <w:rFonts w:eastAsia="Times New Roman"/>
                <w:sz w:val="20"/>
                <w:szCs w:val="20"/>
              </w:rPr>
            </w:pPr>
            <w:r>
              <w:rPr>
                <w:rFonts w:eastAsia="Times New Roman"/>
                <w:sz w:val="20"/>
                <w:szCs w:val="20"/>
              </w:rPr>
              <w:t>SMH</w:t>
            </w:r>
          </w:p>
        </w:tc>
        <w:tc>
          <w:tcPr>
            <w:tcW w:w="290"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c>
          <w:tcPr>
            <w:tcW w:w="336"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r>
    </w:tbl>
    <w:p w:rsidR="00B721E0" w:rsidRPr="00B721E0" w:rsidRDefault="00B721E0" w:rsidP="00B721E0">
      <w:pPr>
        <w:rPr>
          <w:rFonts w:eastAsia="Times New Roman" w:cs="Times New Roman"/>
          <w:b/>
          <w:color w:val="000000"/>
          <w:szCs w:val="20"/>
        </w:rPr>
        <w:sectPr w:rsidR="00B721E0" w:rsidRPr="00B721E0" w:rsidSect="00C56C88">
          <w:pgSz w:w="16838" w:h="11906" w:orient="landscape"/>
          <w:pgMar w:top="1134" w:right="1134" w:bottom="1134" w:left="1134" w:header="709" w:footer="17" w:gutter="0"/>
          <w:cols w:space="708"/>
          <w:docGrid w:linePitch="360"/>
        </w:sectPr>
      </w:pPr>
    </w:p>
    <w:p w:rsidR="00B721E0" w:rsidRPr="00B721E0" w:rsidRDefault="00B721E0" w:rsidP="00B721E0">
      <w:pPr>
        <w:rPr>
          <w:rFonts w:eastAsia="Times New Roman" w:cs="Times New Roman"/>
          <w:b/>
          <w:color w:val="000000"/>
          <w:szCs w:val="20"/>
        </w:rPr>
      </w:pPr>
    </w:p>
    <w:tbl>
      <w:tblPr>
        <w:tblW w:w="5000" w:type="pct"/>
        <w:tblCellMar>
          <w:left w:w="0" w:type="dxa"/>
          <w:right w:w="0" w:type="dxa"/>
        </w:tblCellMar>
        <w:tblLook w:val="0000" w:firstRow="0" w:lastRow="0" w:firstColumn="0" w:lastColumn="0" w:noHBand="0" w:noVBand="0"/>
      </w:tblPr>
      <w:tblGrid>
        <w:gridCol w:w="843"/>
        <w:gridCol w:w="1573"/>
        <w:gridCol w:w="873"/>
        <w:gridCol w:w="1485"/>
        <w:gridCol w:w="3323"/>
        <w:gridCol w:w="2302"/>
        <w:gridCol w:w="1566"/>
        <w:gridCol w:w="973"/>
        <w:gridCol w:w="1046"/>
      </w:tblGrid>
      <w:tr w:rsidR="00B721E0" w:rsidRPr="00B721E0" w:rsidTr="00C56C88">
        <w:trPr>
          <w:trHeight w:val="1290"/>
        </w:trPr>
        <w:tc>
          <w:tcPr>
            <w:tcW w:w="301"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Risk ID</w:t>
            </w:r>
          </w:p>
        </w:tc>
        <w:tc>
          <w:tcPr>
            <w:tcW w:w="562"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Risk Title</w:t>
            </w:r>
          </w:p>
        </w:tc>
        <w:tc>
          <w:tcPr>
            <w:tcW w:w="312" w:type="pct"/>
            <w:tcBorders>
              <w:top w:val="single" w:sz="8" w:space="0" w:color="auto"/>
              <w:left w:val="nil"/>
              <w:bottom w:val="single" w:sz="8" w:space="0" w:color="auto"/>
              <w:right w:val="nil"/>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Action Owner</w:t>
            </w:r>
          </w:p>
        </w:tc>
        <w:tc>
          <w:tcPr>
            <w:tcW w:w="531"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Accept, Contingency, Transfer, Reduce or Avoid</w:t>
            </w:r>
          </w:p>
        </w:tc>
        <w:tc>
          <w:tcPr>
            <w:tcW w:w="1188"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Details of  Action</w:t>
            </w:r>
          </w:p>
        </w:tc>
        <w:tc>
          <w:tcPr>
            <w:tcW w:w="823"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Key Milestone</w:t>
            </w:r>
          </w:p>
        </w:tc>
        <w:tc>
          <w:tcPr>
            <w:tcW w:w="560"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Arial Unicode MS" w:hAnsi="Verdana"/>
                <w:b/>
                <w:bCs/>
                <w:sz w:val="18"/>
                <w:szCs w:val="20"/>
              </w:rPr>
              <w:t>Milestone Delivery Date</w:t>
            </w:r>
          </w:p>
        </w:tc>
        <w:tc>
          <w:tcPr>
            <w:tcW w:w="348" w:type="pct"/>
            <w:tcBorders>
              <w:top w:val="single" w:sz="8" w:space="0" w:color="auto"/>
              <w:left w:val="nil"/>
              <w:bottom w:val="single" w:sz="8" w:space="0" w:color="auto"/>
              <w:right w:val="nil"/>
            </w:tcBorders>
            <w:shd w:val="clear" w:color="auto" w:fill="C0C0C0"/>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%Action Complete</w:t>
            </w:r>
          </w:p>
        </w:tc>
        <w:tc>
          <w:tcPr>
            <w:tcW w:w="374" w:type="pct"/>
            <w:tcBorders>
              <w:top w:val="single" w:sz="8" w:space="0" w:color="auto"/>
              <w:left w:val="single" w:sz="4"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Date Reviewed</w:t>
            </w:r>
          </w:p>
        </w:tc>
      </w:tr>
      <w:tr w:rsidR="00B721E0" w:rsidRPr="00B721E0" w:rsidTr="00C56C88">
        <w:trPr>
          <w:trHeight w:val="660"/>
        </w:trPr>
        <w:tc>
          <w:tcPr>
            <w:tcW w:w="301" w:type="pct"/>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HR001</w:t>
            </w:r>
          </w:p>
        </w:tc>
        <w:tc>
          <w:tcPr>
            <w:tcW w:w="562"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Community impact</w:t>
            </w:r>
          </w:p>
        </w:tc>
        <w:tc>
          <w:tcPr>
            <w:tcW w:w="312"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SMH</w:t>
            </w:r>
          </w:p>
        </w:tc>
        <w:tc>
          <w:tcPr>
            <w:tcW w:w="531"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Reduce</w:t>
            </w:r>
          </w:p>
        </w:tc>
        <w:tc>
          <w:tcPr>
            <w:tcW w:w="1188"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Introduce an indexation method to OLW</w:t>
            </w:r>
          </w:p>
        </w:tc>
        <w:tc>
          <w:tcPr>
            <w:tcW w:w="823"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Agreement (December CEB)</w:t>
            </w:r>
          </w:p>
        </w:tc>
        <w:tc>
          <w:tcPr>
            <w:tcW w:w="560" w:type="pct"/>
            <w:tcBorders>
              <w:top w:val="nil"/>
              <w:left w:val="nil"/>
              <w:bottom w:val="single" w:sz="4" w:space="0" w:color="auto"/>
              <w:right w:val="single" w:sz="4" w:space="0" w:color="auto"/>
            </w:tcBorders>
            <w:noWrap/>
            <w:tcMar>
              <w:top w:w="13" w:type="dxa"/>
              <w:left w:w="13" w:type="dxa"/>
              <w:bottom w:w="0" w:type="dxa"/>
              <w:right w:w="13" w:type="dxa"/>
            </w:tcMar>
          </w:tcPr>
          <w:p w:rsidR="00B721E0" w:rsidRPr="00B721E0" w:rsidRDefault="002C621A" w:rsidP="00B721E0">
            <w:pPr>
              <w:rPr>
                <w:rFonts w:eastAsia="Arial Unicode MS"/>
                <w:sz w:val="20"/>
                <w:szCs w:val="20"/>
              </w:rPr>
            </w:pPr>
            <w:r>
              <w:rPr>
                <w:rFonts w:eastAsia="Arial Unicode MS"/>
                <w:sz w:val="20"/>
                <w:szCs w:val="20"/>
              </w:rPr>
              <w:t>11/12/13</w:t>
            </w:r>
          </w:p>
        </w:tc>
        <w:tc>
          <w:tcPr>
            <w:tcW w:w="348" w:type="pct"/>
            <w:tcBorders>
              <w:top w:val="nil"/>
              <w:left w:val="nil"/>
              <w:bottom w:val="single" w:sz="4" w:space="0" w:color="auto"/>
              <w:right w:val="nil"/>
            </w:tcBorders>
          </w:tcPr>
          <w:p w:rsidR="00B721E0" w:rsidRPr="00B721E0" w:rsidRDefault="00B721E0" w:rsidP="00B721E0">
            <w:pPr>
              <w:rPr>
                <w:rFonts w:eastAsia="Arial Unicode MS"/>
                <w:sz w:val="20"/>
                <w:szCs w:val="20"/>
              </w:rPr>
            </w:pPr>
          </w:p>
        </w:tc>
        <w:tc>
          <w:tcPr>
            <w:tcW w:w="374" w:type="pct"/>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p>
        </w:tc>
      </w:tr>
      <w:tr w:rsidR="002C621A"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2C621A" w:rsidRPr="00B721E0" w:rsidRDefault="002C621A" w:rsidP="00B721E0">
            <w:pPr>
              <w:rPr>
                <w:rFonts w:eastAsia="Arial Unicode MS"/>
                <w:sz w:val="20"/>
                <w:szCs w:val="20"/>
              </w:rPr>
            </w:pPr>
            <w:r>
              <w:rPr>
                <w:rFonts w:eastAsia="Arial Unicode MS"/>
                <w:sz w:val="20"/>
                <w:szCs w:val="20"/>
              </w:rPr>
              <w:t>HR002</w:t>
            </w: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2C621A" w:rsidRPr="00B721E0" w:rsidRDefault="002C621A" w:rsidP="00B721E0">
            <w:pPr>
              <w:rPr>
                <w:rFonts w:eastAsia="Arial Unicode MS"/>
                <w:sz w:val="20"/>
                <w:szCs w:val="20"/>
              </w:rPr>
            </w:pPr>
            <w:r>
              <w:rPr>
                <w:rFonts w:eastAsia="Arial Unicode MS"/>
                <w:sz w:val="20"/>
                <w:szCs w:val="20"/>
              </w:rPr>
              <w:t>Council repu</w:t>
            </w:r>
            <w:r w:rsidR="00F14EE4">
              <w:rPr>
                <w:rFonts w:eastAsia="Arial Unicode MS"/>
                <w:sz w:val="20"/>
                <w:szCs w:val="20"/>
              </w:rPr>
              <w:t>t</w:t>
            </w:r>
            <w:r>
              <w:rPr>
                <w:rFonts w:eastAsia="Arial Unicode MS"/>
                <w:sz w:val="20"/>
                <w:szCs w:val="20"/>
              </w:rPr>
              <w:t>ation</w:t>
            </w: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2C621A" w:rsidRPr="00B721E0" w:rsidRDefault="002C621A" w:rsidP="00B721E0">
            <w:pPr>
              <w:rPr>
                <w:rFonts w:eastAsia="Arial Unicode MS"/>
                <w:sz w:val="20"/>
                <w:szCs w:val="20"/>
              </w:rPr>
            </w:pPr>
            <w:r>
              <w:rPr>
                <w:rFonts w:eastAsia="Arial Unicode MS"/>
                <w:sz w:val="20"/>
                <w:szCs w:val="20"/>
              </w:rPr>
              <w:t>SMH</w:t>
            </w: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2C621A" w:rsidRPr="00B721E0" w:rsidRDefault="002C621A" w:rsidP="00B721E0">
            <w:pPr>
              <w:rPr>
                <w:rFonts w:eastAsia="Arial Unicode MS"/>
                <w:sz w:val="20"/>
                <w:szCs w:val="20"/>
              </w:rPr>
            </w:pPr>
            <w:r>
              <w:rPr>
                <w:rFonts w:eastAsia="Arial Unicode MS"/>
                <w:sz w:val="20"/>
                <w:szCs w:val="20"/>
              </w:rPr>
              <w:t>Reduce</w:t>
            </w: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2C621A" w:rsidRPr="00B721E0" w:rsidRDefault="002C621A" w:rsidP="00897C7D">
            <w:pPr>
              <w:rPr>
                <w:rFonts w:eastAsia="Arial Unicode MS"/>
                <w:sz w:val="20"/>
                <w:szCs w:val="20"/>
              </w:rPr>
            </w:pPr>
            <w:r>
              <w:rPr>
                <w:rFonts w:eastAsia="Arial Unicode MS"/>
                <w:sz w:val="20"/>
                <w:szCs w:val="20"/>
              </w:rPr>
              <w:t>Introduce an indexation method to OLW</w:t>
            </w: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2C621A" w:rsidRPr="00B721E0" w:rsidRDefault="002C621A" w:rsidP="00897C7D">
            <w:pPr>
              <w:rPr>
                <w:rFonts w:eastAsia="Arial Unicode MS"/>
                <w:sz w:val="20"/>
                <w:szCs w:val="20"/>
              </w:rPr>
            </w:pPr>
            <w:r>
              <w:rPr>
                <w:rFonts w:eastAsia="Arial Unicode MS"/>
                <w:sz w:val="20"/>
                <w:szCs w:val="20"/>
              </w:rPr>
              <w:t>Agreement (December CEB)</w:t>
            </w: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2C621A" w:rsidRPr="00B721E0" w:rsidRDefault="002C621A" w:rsidP="00897C7D">
            <w:pPr>
              <w:rPr>
                <w:rFonts w:eastAsia="Arial Unicode MS"/>
                <w:sz w:val="20"/>
                <w:szCs w:val="20"/>
              </w:rPr>
            </w:pPr>
            <w:r>
              <w:rPr>
                <w:rFonts w:eastAsia="Arial Unicode MS"/>
                <w:sz w:val="20"/>
                <w:szCs w:val="20"/>
              </w:rPr>
              <w:t>11/12/13</w:t>
            </w:r>
          </w:p>
        </w:tc>
        <w:tc>
          <w:tcPr>
            <w:tcW w:w="348" w:type="pct"/>
            <w:tcBorders>
              <w:top w:val="single" w:sz="4" w:space="0" w:color="auto"/>
              <w:left w:val="nil"/>
              <w:bottom w:val="single" w:sz="4" w:space="0" w:color="auto"/>
              <w:right w:val="nil"/>
            </w:tcBorders>
          </w:tcPr>
          <w:p w:rsidR="002C621A" w:rsidRPr="00B721E0" w:rsidRDefault="002C621A" w:rsidP="00B721E0">
            <w:pPr>
              <w:rPr>
                <w:rFonts w:eastAsia="Arial Unicode MS"/>
                <w:sz w:val="20"/>
                <w:szCs w:val="20"/>
              </w:rPr>
            </w:pP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2C621A" w:rsidRPr="00B721E0" w:rsidRDefault="002C621A" w:rsidP="00B721E0">
            <w:pPr>
              <w:rPr>
                <w:rFonts w:eastAsia="Arial Unicode MS"/>
                <w:sz w:val="20"/>
                <w:szCs w:val="20"/>
              </w:rPr>
            </w:pPr>
          </w:p>
        </w:tc>
      </w:tr>
      <w:tr w:rsidR="00E105DC"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E105DC" w:rsidRPr="00B721E0" w:rsidRDefault="00E105DC" w:rsidP="00B721E0">
            <w:pPr>
              <w:rPr>
                <w:rFonts w:eastAsia="Times New Roman"/>
                <w:sz w:val="20"/>
                <w:szCs w:val="20"/>
              </w:rPr>
            </w:pPr>
            <w:r>
              <w:rPr>
                <w:rFonts w:eastAsia="Times New Roman"/>
                <w:sz w:val="20"/>
                <w:szCs w:val="20"/>
              </w:rPr>
              <w:t>HR003</w:t>
            </w: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E105DC" w:rsidRPr="00B721E0" w:rsidRDefault="00E105DC" w:rsidP="00B721E0">
            <w:pPr>
              <w:rPr>
                <w:rFonts w:eastAsia="Times New Roman"/>
                <w:sz w:val="20"/>
                <w:szCs w:val="20"/>
              </w:rPr>
            </w:pPr>
            <w:r>
              <w:rPr>
                <w:rFonts w:eastAsia="Times New Roman"/>
                <w:sz w:val="20"/>
                <w:szCs w:val="20"/>
              </w:rPr>
              <w:t>Selling services</w:t>
            </w: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E105DC" w:rsidRPr="00B721E0" w:rsidRDefault="00E105DC" w:rsidP="00B721E0">
            <w:pPr>
              <w:rPr>
                <w:rFonts w:eastAsia="Times New Roman"/>
                <w:sz w:val="20"/>
                <w:szCs w:val="20"/>
              </w:rPr>
            </w:pPr>
            <w:r>
              <w:rPr>
                <w:rFonts w:eastAsia="Times New Roman"/>
                <w:sz w:val="20"/>
                <w:szCs w:val="20"/>
              </w:rPr>
              <w:t>SMH</w:t>
            </w: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E105DC" w:rsidRPr="00B721E0" w:rsidRDefault="00E105DC" w:rsidP="00B721E0">
            <w:pPr>
              <w:rPr>
                <w:rFonts w:eastAsia="Times New Roman"/>
                <w:sz w:val="20"/>
                <w:szCs w:val="20"/>
              </w:rPr>
            </w:pPr>
            <w:r>
              <w:rPr>
                <w:rFonts w:eastAsia="Times New Roman"/>
                <w:sz w:val="20"/>
                <w:szCs w:val="20"/>
              </w:rPr>
              <w:t>Accept</w:t>
            </w: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E105DC" w:rsidRPr="00B721E0" w:rsidRDefault="00E105DC" w:rsidP="00B721E0">
            <w:pPr>
              <w:rPr>
                <w:rFonts w:eastAsia="Times New Roman"/>
                <w:sz w:val="20"/>
                <w:szCs w:val="20"/>
              </w:rPr>
            </w:pPr>
            <w:r>
              <w:rPr>
                <w:rFonts w:eastAsia="Times New Roman"/>
                <w:sz w:val="20"/>
                <w:szCs w:val="20"/>
              </w:rPr>
              <w:t>The Council is successfully bidding for work and has already agreed to pay its own staff above the OLW as part of the 5 year pay deal</w:t>
            </w: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E105DC" w:rsidRPr="00B721E0" w:rsidRDefault="00E105DC" w:rsidP="00897C7D">
            <w:pPr>
              <w:rPr>
                <w:rFonts w:eastAsia="Arial Unicode MS"/>
                <w:sz w:val="20"/>
                <w:szCs w:val="20"/>
              </w:rPr>
            </w:pPr>
            <w:r>
              <w:rPr>
                <w:rFonts w:eastAsia="Arial Unicode MS"/>
                <w:sz w:val="20"/>
                <w:szCs w:val="20"/>
              </w:rPr>
              <w:t>Agreement (December CEB)</w:t>
            </w: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E105DC" w:rsidRPr="00B721E0" w:rsidRDefault="00E105DC" w:rsidP="00897C7D">
            <w:pPr>
              <w:rPr>
                <w:rFonts w:eastAsia="Arial Unicode MS"/>
                <w:sz w:val="20"/>
                <w:szCs w:val="20"/>
              </w:rPr>
            </w:pPr>
            <w:r>
              <w:rPr>
                <w:rFonts w:eastAsia="Arial Unicode MS"/>
                <w:sz w:val="20"/>
                <w:szCs w:val="20"/>
              </w:rPr>
              <w:t>11/12/13</w:t>
            </w:r>
          </w:p>
        </w:tc>
        <w:tc>
          <w:tcPr>
            <w:tcW w:w="348" w:type="pct"/>
            <w:tcBorders>
              <w:top w:val="single" w:sz="4" w:space="0" w:color="auto"/>
              <w:left w:val="nil"/>
              <w:bottom w:val="single" w:sz="4" w:space="0" w:color="auto"/>
              <w:right w:val="nil"/>
            </w:tcBorders>
          </w:tcPr>
          <w:p w:rsidR="00E105DC" w:rsidRPr="00B721E0" w:rsidRDefault="00E105DC" w:rsidP="00B721E0">
            <w:pPr>
              <w:rPr>
                <w:rFonts w:eastAsia="Times New Roman"/>
                <w:sz w:val="20"/>
                <w:szCs w:val="20"/>
              </w:rPr>
            </w:pP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E105DC" w:rsidRPr="00B721E0" w:rsidRDefault="00E105DC" w:rsidP="00B721E0">
            <w:pPr>
              <w:rPr>
                <w:rFonts w:eastAsia="Times New Roman"/>
                <w:sz w:val="20"/>
                <w:szCs w:val="20"/>
              </w:rPr>
            </w:pPr>
          </w:p>
        </w:tc>
      </w:tr>
      <w:tr w:rsidR="00B721E0"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c>
          <w:tcPr>
            <w:tcW w:w="348" w:type="pct"/>
            <w:tcBorders>
              <w:top w:val="single" w:sz="4" w:space="0" w:color="auto"/>
              <w:left w:val="nil"/>
              <w:bottom w:val="single" w:sz="4" w:space="0" w:color="auto"/>
              <w:right w:val="nil"/>
            </w:tcBorders>
          </w:tcPr>
          <w:p w:rsidR="00B721E0" w:rsidRPr="00B721E0" w:rsidRDefault="00B721E0" w:rsidP="00B721E0">
            <w:pPr>
              <w:rPr>
                <w:rFonts w:eastAsia="Times New Roman"/>
                <w:sz w:val="20"/>
                <w:szCs w:val="20"/>
              </w:rPr>
            </w:pP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r>
      <w:tr w:rsidR="00B721E0"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c>
          <w:tcPr>
            <w:tcW w:w="348" w:type="pct"/>
            <w:tcBorders>
              <w:top w:val="single" w:sz="4" w:space="0" w:color="auto"/>
              <w:left w:val="nil"/>
              <w:bottom w:val="single" w:sz="4" w:space="0" w:color="auto"/>
              <w:right w:val="nil"/>
            </w:tcBorders>
          </w:tcPr>
          <w:p w:rsidR="00B721E0" w:rsidRPr="00B721E0" w:rsidRDefault="00B721E0" w:rsidP="00B721E0">
            <w:pPr>
              <w:rPr>
                <w:rFonts w:eastAsia="Times New Roman"/>
                <w:sz w:val="20"/>
                <w:szCs w:val="20"/>
              </w:rPr>
            </w:pP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r>
    </w:tbl>
    <w:p w:rsidR="00B721E0" w:rsidRPr="00B721E0" w:rsidRDefault="00B721E0" w:rsidP="00B721E0">
      <w:pPr>
        <w:rPr>
          <w:rFonts w:eastAsia="Times New Roman" w:cs="Times New Roman"/>
        </w:rPr>
        <w:sectPr w:rsidR="00B721E0" w:rsidRPr="00B721E0" w:rsidSect="00C56C88">
          <w:pgSz w:w="16838" w:h="11906" w:orient="landscape"/>
          <w:pgMar w:top="1440" w:right="1440" w:bottom="1440" w:left="1440" w:header="708" w:footer="708" w:gutter="0"/>
          <w:cols w:space="708"/>
          <w:docGrid w:linePitch="360"/>
        </w:sectPr>
      </w:pPr>
    </w:p>
    <w:p w:rsidR="008A22C6" w:rsidRDefault="00924D0B" w:rsidP="00322C24">
      <w:pPr>
        <w:jc w:val="right"/>
        <w:rPr>
          <w:b/>
        </w:rPr>
      </w:pPr>
      <w:r>
        <w:rPr>
          <w:b/>
        </w:rPr>
        <w:lastRenderedPageBreak/>
        <w:t>Appendix 3 - Equalities Impact Assessment – Living Wage Uplift</w:t>
      </w:r>
    </w:p>
    <w:p w:rsidR="00746EA1" w:rsidRDefault="00746EA1" w:rsidP="006D49CC">
      <w:pPr>
        <w:rPr>
          <w:b/>
        </w:rPr>
      </w:pPr>
    </w:p>
    <w:p w:rsidR="00746EA1" w:rsidRDefault="00746EA1" w:rsidP="00746EA1">
      <w:pPr>
        <w:rPr>
          <w:b/>
        </w:rPr>
      </w:pPr>
      <w:r>
        <w:rPr>
          <w:b/>
        </w:rPr>
        <w:t xml:space="preserve">Initial screening EqIA template </w:t>
      </w:r>
    </w:p>
    <w:p w:rsidR="00746EA1" w:rsidRDefault="00746EA1" w:rsidP="00746EA1">
      <w:pPr>
        <w:rPr>
          <w:b/>
        </w:rPr>
      </w:pPr>
    </w:p>
    <w:p w:rsidR="00746EA1" w:rsidRPr="00732A8B" w:rsidRDefault="00746EA1" w:rsidP="00746EA1">
      <w:pPr>
        <w:rPr>
          <w:i/>
        </w:rPr>
      </w:pPr>
      <w:r>
        <w:rPr>
          <w:i/>
        </w:rPr>
        <w:t>Prior to making the decision, the Council’s decision makers considered the following:</w:t>
      </w:r>
      <w:r w:rsidRPr="00732A8B">
        <w:rPr>
          <w:i/>
          <w:sz w:val="22"/>
          <w:szCs w:val="22"/>
        </w:rPr>
        <w:t xml:space="preserve"> guide to decision making under the Equality Act 2010</w:t>
      </w:r>
      <w:r>
        <w:rPr>
          <w:i/>
          <w:sz w:val="22"/>
          <w:szCs w:val="22"/>
        </w:rPr>
        <w:t xml:space="preserve">: </w:t>
      </w:r>
    </w:p>
    <w:p w:rsidR="00746EA1" w:rsidRDefault="00746EA1" w:rsidP="00746EA1">
      <w:pPr>
        <w:rPr>
          <w:b/>
          <w:sz w:val="22"/>
          <w:szCs w:val="22"/>
        </w:rPr>
      </w:pPr>
    </w:p>
    <w:p w:rsidR="00746EA1" w:rsidRDefault="00746EA1" w:rsidP="00746EA1">
      <w:pPr>
        <w:rPr>
          <w:i/>
          <w:sz w:val="22"/>
          <w:szCs w:val="22"/>
        </w:rPr>
      </w:pPr>
      <w:r w:rsidRPr="00732A8B">
        <w:rPr>
          <w:i/>
          <w:sz w:val="22"/>
          <w:szCs w:val="22"/>
        </w:rPr>
        <w:t>The Council is a public authority</w:t>
      </w:r>
      <w:smartTag w:uri="urn:schemas-microsoft-com:office:smarttags" w:element="PersonName">
        <w:r w:rsidRPr="00732A8B">
          <w:rPr>
            <w:i/>
            <w:sz w:val="22"/>
            <w:szCs w:val="22"/>
          </w:rPr>
          <w:t>.</w:t>
        </w:r>
      </w:smartTag>
      <w:r w:rsidRPr="00732A8B">
        <w:rPr>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b/>
          <w:i/>
          <w:sz w:val="22"/>
          <w:szCs w:val="22"/>
        </w:rPr>
        <w:t>due regard</w:t>
      </w:r>
      <w:r w:rsidRPr="00732A8B">
        <w:rPr>
          <w:i/>
          <w:sz w:val="22"/>
          <w:szCs w:val="22"/>
        </w:rPr>
        <w:t xml:space="preserve"> to the </w:t>
      </w:r>
      <w:r w:rsidRPr="008B5FC7">
        <w:rPr>
          <w:b/>
          <w:i/>
          <w:sz w:val="22"/>
          <w:szCs w:val="22"/>
        </w:rPr>
        <w:t>9</w:t>
      </w:r>
      <w:r>
        <w:rPr>
          <w:i/>
          <w:sz w:val="22"/>
          <w:szCs w:val="22"/>
        </w:rPr>
        <w:t xml:space="preserve"> </w:t>
      </w:r>
      <w:r w:rsidRPr="00732A8B">
        <w:rPr>
          <w:i/>
          <w:sz w:val="22"/>
          <w:szCs w:val="22"/>
        </w:rPr>
        <w:t xml:space="preserve">protected characteristics defined under the Act.  These protected characteristics are: </w:t>
      </w:r>
      <w:r w:rsidRPr="00732A8B">
        <w:rPr>
          <w:b/>
          <w:i/>
          <w:sz w:val="22"/>
          <w:szCs w:val="22"/>
        </w:rPr>
        <w:t>age, disability, race, gender reassignment, pregnancy and maternity, religion or belief, sex</w:t>
      </w:r>
      <w:r>
        <w:rPr>
          <w:b/>
          <w:i/>
          <w:sz w:val="22"/>
          <w:szCs w:val="22"/>
        </w:rPr>
        <w:t xml:space="preserve">, </w:t>
      </w:r>
      <w:r w:rsidRPr="00732A8B">
        <w:rPr>
          <w:b/>
          <w:i/>
          <w:sz w:val="22"/>
          <w:szCs w:val="22"/>
        </w:rPr>
        <w:t>sexual orientation</w:t>
      </w:r>
      <w:r w:rsidRPr="00732A8B">
        <w:rPr>
          <w:i/>
          <w:sz w:val="22"/>
          <w:szCs w:val="22"/>
        </w:rPr>
        <w:t xml:space="preserve"> </w:t>
      </w:r>
      <w:r w:rsidRPr="008B5FC7">
        <w:rPr>
          <w:b/>
          <w:i/>
          <w:sz w:val="22"/>
          <w:szCs w:val="22"/>
        </w:rPr>
        <w:t>and marriage &amp; civil partnership</w:t>
      </w:r>
      <w:r w:rsidRPr="00732A8B">
        <w:rPr>
          <w:i/>
          <w:sz w:val="22"/>
          <w:szCs w:val="22"/>
        </w:rPr>
        <w:t xml:space="preserve"> </w:t>
      </w:r>
    </w:p>
    <w:p w:rsidR="00746EA1" w:rsidRDefault="00746EA1" w:rsidP="00746EA1">
      <w:pPr>
        <w:rPr>
          <w:i/>
          <w:sz w:val="22"/>
          <w:szCs w:val="22"/>
        </w:rPr>
      </w:pPr>
    </w:p>
    <w:p w:rsidR="00746EA1" w:rsidRPr="00732A8B" w:rsidRDefault="00746EA1" w:rsidP="00746EA1">
      <w:pPr>
        <w:rPr>
          <w:i/>
          <w:sz w:val="22"/>
          <w:szCs w:val="22"/>
        </w:rPr>
      </w:pPr>
      <w:r w:rsidRPr="00732A8B">
        <w:rPr>
          <w:i/>
          <w:sz w:val="22"/>
          <w:szCs w:val="22"/>
        </w:rPr>
        <w:t>The decision maker(s) must specifically consider those protected by the above characteristics:</w:t>
      </w:r>
    </w:p>
    <w:p w:rsidR="00746EA1" w:rsidRPr="00732A8B" w:rsidRDefault="00746EA1" w:rsidP="00746EA1">
      <w:pPr>
        <w:rPr>
          <w:i/>
          <w:sz w:val="22"/>
          <w:szCs w:val="22"/>
        </w:rPr>
      </w:pPr>
      <w:r w:rsidRPr="00732A8B">
        <w:rPr>
          <w:i/>
          <w:sz w:val="22"/>
          <w:szCs w:val="22"/>
        </w:rPr>
        <w:t>(a) to seek to ensure equality of treatment towards service users and employees;</w:t>
      </w:r>
    </w:p>
    <w:p w:rsidR="00746EA1" w:rsidRPr="00732A8B" w:rsidRDefault="00746EA1" w:rsidP="00746EA1">
      <w:pPr>
        <w:rPr>
          <w:i/>
          <w:sz w:val="22"/>
          <w:szCs w:val="22"/>
        </w:rPr>
      </w:pPr>
      <w:r w:rsidRPr="00732A8B">
        <w:rPr>
          <w:i/>
          <w:sz w:val="22"/>
          <w:szCs w:val="22"/>
        </w:rPr>
        <w:t xml:space="preserve">(b) to identify the potential impact of the proposal or decision upon them.  </w:t>
      </w:r>
    </w:p>
    <w:p w:rsidR="00746EA1" w:rsidRDefault="00746EA1" w:rsidP="00746EA1">
      <w:pPr>
        <w:rPr>
          <w:i/>
          <w:sz w:val="22"/>
          <w:szCs w:val="22"/>
        </w:rPr>
      </w:pPr>
    </w:p>
    <w:p w:rsidR="00746EA1" w:rsidRPr="009A541B" w:rsidRDefault="00746EA1" w:rsidP="00746EA1">
      <w:pPr>
        <w:rPr>
          <w:i/>
          <w:sz w:val="22"/>
          <w:szCs w:val="22"/>
        </w:rPr>
      </w:pPr>
      <w:r w:rsidRPr="009A541B">
        <w:rPr>
          <w:i/>
          <w:sz w:val="22"/>
          <w:szCs w:val="22"/>
        </w:rPr>
        <w:t>The Council will also ask that</w:t>
      </w:r>
      <w:r>
        <w:rPr>
          <w:i/>
          <w:sz w:val="22"/>
          <w:szCs w:val="22"/>
        </w:rPr>
        <w:t xml:space="preserve"> </w:t>
      </w:r>
      <w:r w:rsidRPr="009A541B">
        <w:rPr>
          <w:i/>
          <w:sz w:val="22"/>
          <w:szCs w:val="22"/>
        </w:rPr>
        <w:t>officers consider whether the polic</w:t>
      </w:r>
      <w:r>
        <w:rPr>
          <w:i/>
          <w:sz w:val="22"/>
          <w:szCs w:val="22"/>
        </w:rPr>
        <w:t>y,</w:t>
      </w:r>
      <w:r w:rsidRPr="009A541B">
        <w:rPr>
          <w:i/>
          <w:sz w:val="22"/>
          <w:szCs w:val="22"/>
        </w:rPr>
        <w:t xml:space="preserve"> strategy</w:t>
      </w:r>
      <w:r>
        <w:rPr>
          <w:i/>
          <w:sz w:val="22"/>
          <w:szCs w:val="22"/>
        </w:rPr>
        <w:t xml:space="preserve"> or spending decisions</w:t>
      </w:r>
      <w:r w:rsidRPr="009A541B">
        <w:rPr>
          <w:i/>
          <w:sz w:val="22"/>
          <w:szCs w:val="22"/>
        </w:rPr>
        <w:t xml:space="preserve"> could have an impact on safeguarding and / or the welfare of children and vulnerable adults</w:t>
      </w:r>
    </w:p>
    <w:p w:rsidR="00746EA1" w:rsidRPr="00732A8B" w:rsidRDefault="00746EA1" w:rsidP="00746EA1">
      <w:pPr>
        <w:rPr>
          <w:i/>
          <w:sz w:val="22"/>
          <w:szCs w:val="22"/>
        </w:rPr>
      </w:pPr>
    </w:p>
    <w:p w:rsidR="00746EA1" w:rsidRPr="00732A8B" w:rsidRDefault="00746EA1" w:rsidP="00746EA1">
      <w:pPr>
        <w:rPr>
          <w:i/>
          <w:sz w:val="22"/>
          <w:szCs w:val="22"/>
        </w:rPr>
      </w:pPr>
      <w:r w:rsidRPr="00732A8B">
        <w:rPr>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746EA1" w:rsidRPr="00732A8B" w:rsidRDefault="00746EA1" w:rsidP="00746EA1">
      <w:pPr>
        <w:rPr>
          <w:i/>
        </w:rPr>
      </w:pPr>
    </w:p>
    <w:p w:rsidR="00746EA1" w:rsidRDefault="00322C24" w:rsidP="00746EA1">
      <w:pPr>
        <w:numPr>
          <w:ilvl w:val="0"/>
          <w:numId w:val="12"/>
        </w:numPr>
        <w:rPr>
          <w:i/>
          <w:sz w:val="22"/>
          <w:szCs w:val="22"/>
        </w:rPr>
      </w:pPr>
      <w:r>
        <w:rPr>
          <w:b/>
          <w:i/>
          <w:sz w:val="22"/>
          <w:szCs w:val="22"/>
        </w:rPr>
        <w:t>T</w:t>
      </w:r>
      <w:r w:rsidR="00746EA1" w:rsidRPr="00732A8B">
        <w:rPr>
          <w:b/>
          <w:i/>
          <w:sz w:val="22"/>
          <w:szCs w:val="22"/>
        </w:rPr>
        <w:t>he decision maker is responsible for identifying whether there is an issue and discharging it</w:t>
      </w:r>
      <w:r w:rsidR="00746EA1" w:rsidRPr="00732A8B">
        <w:rPr>
          <w:i/>
          <w:sz w:val="22"/>
          <w:szCs w:val="22"/>
        </w:rPr>
        <w:t xml:space="preserve">.  The threshold for one of the duties to be triggered is low and will be triggered where there is any issue which needs at least to be addressed. </w:t>
      </w:r>
    </w:p>
    <w:p w:rsidR="00322C24" w:rsidRPr="00732A8B" w:rsidRDefault="00322C24" w:rsidP="00322C24">
      <w:pPr>
        <w:ind w:left="360"/>
        <w:rPr>
          <w:i/>
          <w:sz w:val="22"/>
          <w:szCs w:val="22"/>
        </w:rPr>
      </w:pPr>
    </w:p>
    <w:p w:rsidR="00746EA1" w:rsidRDefault="00322C24" w:rsidP="00746EA1">
      <w:pPr>
        <w:numPr>
          <w:ilvl w:val="0"/>
          <w:numId w:val="12"/>
        </w:numPr>
        <w:rPr>
          <w:i/>
          <w:sz w:val="22"/>
          <w:szCs w:val="22"/>
        </w:rPr>
      </w:pPr>
      <w:r>
        <w:rPr>
          <w:b/>
          <w:i/>
          <w:sz w:val="22"/>
          <w:szCs w:val="22"/>
        </w:rPr>
        <w:t>T</w:t>
      </w:r>
      <w:r w:rsidR="00746EA1" w:rsidRPr="00732A8B">
        <w:rPr>
          <w:b/>
          <w:i/>
          <w:sz w:val="22"/>
          <w:szCs w:val="22"/>
        </w:rPr>
        <w:t xml:space="preserve">he duties arise </w:t>
      </w:r>
      <w:r w:rsidR="00746EA1" w:rsidRPr="00732A8B">
        <w:rPr>
          <w:b/>
          <w:i/>
          <w:sz w:val="22"/>
          <w:szCs w:val="22"/>
          <w:u w:val="single"/>
        </w:rPr>
        <w:t>before</w:t>
      </w:r>
      <w:r w:rsidR="00746EA1" w:rsidRPr="00732A8B">
        <w:rPr>
          <w:b/>
          <w:i/>
          <w:sz w:val="22"/>
          <w:szCs w:val="22"/>
        </w:rPr>
        <w:t xml:space="preserve"> the decision or proposal is made, and not after and are ongoing</w:t>
      </w:r>
      <w:r w:rsidR="00746EA1" w:rsidRPr="00732A8B">
        <w:rPr>
          <w:i/>
          <w:sz w:val="22"/>
          <w:szCs w:val="22"/>
        </w:rPr>
        <w:t xml:space="preserve">.  They require </w:t>
      </w:r>
      <w:r w:rsidR="00746EA1" w:rsidRPr="00732A8B">
        <w:rPr>
          <w:b/>
          <w:i/>
          <w:sz w:val="22"/>
          <w:szCs w:val="22"/>
        </w:rPr>
        <w:t>advance</w:t>
      </w:r>
      <w:r w:rsidR="00746EA1" w:rsidRPr="00732A8B">
        <w:rPr>
          <w:i/>
          <w:sz w:val="22"/>
          <w:szCs w:val="22"/>
        </w:rPr>
        <w:t xml:space="preserve"> consideration by the policy decision maker with conscientiousness, rigour and an open mind</w:t>
      </w:r>
      <w:smartTag w:uri="urn:schemas-microsoft-com:office:smarttags" w:element="PersonName">
        <w:r w:rsidR="00746EA1" w:rsidRPr="00732A8B">
          <w:rPr>
            <w:i/>
            <w:sz w:val="22"/>
            <w:szCs w:val="22"/>
          </w:rPr>
          <w:t>.</w:t>
        </w:r>
      </w:smartTag>
      <w:r w:rsidR="00746EA1" w:rsidRPr="00732A8B">
        <w:rPr>
          <w:i/>
          <w:sz w:val="22"/>
          <w:szCs w:val="22"/>
        </w:rPr>
        <w:t xml:space="preserve">  The duty is similar to an open consultation process.</w:t>
      </w:r>
    </w:p>
    <w:p w:rsidR="00322C24" w:rsidRPr="00732A8B" w:rsidRDefault="00322C24" w:rsidP="00322C24">
      <w:pPr>
        <w:ind w:left="360"/>
        <w:rPr>
          <w:i/>
          <w:sz w:val="22"/>
          <w:szCs w:val="22"/>
        </w:rPr>
      </w:pPr>
    </w:p>
    <w:p w:rsidR="00746EA1" w:rsidRDefault="00322C24" w:rsidP="00746EA1">
      <w:pPr>
        <w:numPr>
          <w:ilvl w:val="0"/>
          <w:numId w:val="12"/>
        </w:numPr>
        <w:rPr>
          <w:i/>
          <w:sz w:val="22"/>
          <w:szCs w:val="22"/>
        </w:rPr>
      </w:pPr>
      <w:r>
        <w:rPr>
          <w:i/>
          <w:sz w:val="22"/>
          <w:szCs w:val="22"/>
        </w:rPr>
        <w:t>T</w:t>
      </w:r>
      <w:r w:rsidR="00746EA1" w:rsidRPr="00732A8B">
        <w:rPr>
          <w:i/>
          <w:sz w:val="22"/>
          <w:szCs w:val="22"/>
        </w:rPr>
        <w:t xml:space="preserve">he decision maker must be </w:t>
      </w:r>
      <w:r w:rsidR="00746EA1" w:rsidRPr="00732A8B">
        <w:rPr>
          <w:b/>
          <w:i/>
          <w:sz w:val="22"/>
          <w:szCs w:val="22"/>
          <w:u w:val="single"/>
        </w:rPr>
        <w:t>aware</w:t>
      </w:r>
      <w:r w:rsidR="00746EA1" w:rsidRPr="00732A8B">
        <w:rPr>
          <w:b/>
          <w:i/>
          <w:sz w:val="22"/>
          <w:szCs w:val="22"/>
        </w:rPr>
        <w:t xml:space="preserve"> of the needs of the duty</w:t>
      </w:r>
      <w:r w:rsidR="00746EA1" w:rsidRPr="00732A8B">
        <w:rPr>
          <w:i/>
          <w:sz w:val="22"/>
          <w:szCs w:val="22"/>
        </w:rPr>
        <w:t>.</w:t>
      </w:r>
    </w:p>
    <w:p w:rsidR="00322C24" w:rsidRDefault="00322C24" w:rsidP="00322C24">
      <w:pPr>
        <w:pStyle w:val="ListParagraph"/>
        <w:rPr>
          <w:i/>
          <w:sz w:val="22"/>
          <w:szCs w:val="22"/>
        </w:rPr>
      </w:pPr>
    </w:p>
    <w:p w:rsidR="00746EA1" w:rsidRDefault="00322C24" w:rsidP="00746EA1">
      <w:pPr>
        <w:numPr>
          <w:ilvl w:val="0"/>
          <w:numId w:val="12"/>
        </w:numPr>
        <w:rPr>
          <w:i/>
          <w:sz w:val="22"/>
          <w:szCs w:val="22"/>
        </w:rPr>
      </w:pPr>
      <w:r>
        <w:rPr>
          <w:i/>
          <w:sz w:val="22"/>
          <w:szCs w:val="22"/>
        </w:rPr>
        <w:t>T</w:t>
      </w:r>
      <w:r w:rsidR="00746EA1" w:rsidRPr="00732A8B">
        <w:rPr>
          <w:i/>
          <w:sz w:val="22"/>
          <w:szCs w:val="22"/>
        </w:rPr>
        <w:t xml:space="preserve">he </w:t>
      </w:r>
      <w:r w:rsidR="00746EA1" w:rsidRPr="00732A8B">
        <w:rPr>
          <w:b/>
          <w:i/>
          <w:sz w:val="22"/>
          <w:szCs w:val="22"/>
        </w:rPr>
        <w:t xml:space="preserve">impact of the proposal or decision must be </w:t>
      </w:r>
      <w:r w:rsidR="00746EA1" w:rsidRPr="00732A8B">
        <w:rPr>
          <w:b/>
          <w:i/>
          <w:sz w:val="22"/>
          <w:szCs w:val="22"/>
          <w:u w:val="single"/>
        </w:rPr>
        <w:t>properly understood</w:t>
      </w:r>
      <w:r w:rsidR="00746EA1" w:rsidRPr="00732A8B">
        <w:rPr>
          <w:b/>
          <w:i/>
          <w:sz w:val="22"/>
          <w:szCs w:val="22"/>
        </w:rPr>
        <w:t xml:space="preserve"> first</w:t>
      </w:r>
      <w:r w:rsidR="00746EA1" w:rsidRPr="00732A8B">
        <w:rPr>
          <w:i/>
          <w:sz w:val="22"/>
          <w:szCs w:val="22"/>
        </w:rPr>
        <w:t>. The amount of regard due will depend on the individual circumstances of each case</w:t>
      </w:r>
      <w:smartTag w:uri="urn:schemas-microsoft-com:office:smarttags" w:element="PersonName">
        <w:r w:rsidR="00746EA1" w:rsidRPr="00732A8B">
          <w:rPr>
            <w:i/>
            <w:sz w:val="22"/>
            <w:szCs w:val="22"/>
          </w:rPr>
          <w:t>.</w:t>
        </w:r>
      </w:smartTag>
      <w:r w:rsidR="00746EA1" w:rsidRPr="00732A8B">
        <w:rPr>
          <w:i/>
          <w:sz w:val="22"/>
          <w:szCs w:val="22"/>
        </w:rPr>
        <w:t xml:space="preserve">  The greater the potential impact, the greater the regard</w:t>
      </w:r>
      <w:smartTag w:uri="urn:schemas-microsoft-com:office:smarttags" w:element="PersonName">
        <w:r w:rsidR="00746EA1" w:rsidRPr="00732A8B">
          <w:rPr>
            <w:i/>
            <w:sz w:val="22"/>
            <w:szCs w:val="22"/>
          </w:rPr>
          <w:t>.</w:t>
        </w:r>
      </w:smartTag>
      <w:r w:rsidR="00746EA1" w:rsidRPr="00732A8B">
        <w:rPr>
          <w:i/>
          <w:sz w:val="22"/>
          <w:szCs w:val="22"/>
        </w:rPr>
        <w:t xml:space="preserve">  </w:t>
      </w:r>
    </w:p>
    <w:p w:rsidR="00322C24" w:rsidRDefault="00322C24" w:rsidP="00322C24">
      <w:pPr>
        <w:pStyle w:val="ListParagraph"/>
        <w:rPr>
          <w:i/>
          <w:sz w:val="22"/>
          <w:szCs w:val="22"/>
        </w:rPr>
      </w:pPr>
    </w:p>
    <w:p w:rsidR="00746EA1" w:rsidRDefault="00746EA1" w:rsidP="00746EA1">
      <w:pPr>
        <w:numPr>
          <w:ilvl w:val="0"/>
          <w:numId w:val="12"/>
        </w:numPr>
        <w:rPr>
          <w:i/>
          <w:sz w:val="22"/>
          <w:szCs w:val="22"/>
        </w:rPr>
      </w:pPr>
      <w:r w:rsidRPr="00732A8B">
        <w:rPr>
          <w:b/>
          <w:i/>
          <w:sz w:val="22"/>
          <w:szCs w:val="22"/>
        </w:rPr>
        <w:t>Get your facts straight first!</w:t>
      </w:r>
      <w:r w:rsidRPr="00732A8B">
        <w:rPr>
          <w:i/>
          <w:sz w:val="22"/>
          <w:szCs w:val="22"/>
        </w:rPr>
        <w:t xml:space="preserve"> There will be no due regard at all if the decision maker or those advising it make a fundamental error of fact (e</w:t>
      </w:r>
      <w:smartTag w:uri="urn:schemas-microsoft-com:office:smarttags" w:element="PersonName">
        <w:r w:rsidRPr="00732A8B">
          <w:rPr>
            <w:i/>
            <w:sz w:val="22"/>
            <w:szCs w:val="22"/>
          </w:rPr>
          <w:t>.</w:t>
        </w:r>
      </w:smartTag>
      <w:r w:rsidRPr="00732A8B">
        <w:rPr>
          <w:i/>
          <w:sz w:val="22"/>
          <w:szCs w:val="22"/>
        </w:rPr>
        <w:t>g</w:t>
      </w:r>
      <w:smartTag w:uri="urn:schemas-microsoft-com:office:smarttags" w:element="PersonName">
        <w:r w:rsidRPr="00732A8B">
          <w:rPr>
            <w:i/>
            <w:sz w:val="22"/>
            <w:szCs w:val="22"/>
          </w:rPr>
          <w:t>.</w:t>
        </w:r>
      </w:smartTag>
      <w:r w:rsidRPr="00732A8B">
        <w:rPr>
          <w:i/>
          <w:sz w:val="22"/>
          <w:szCs w:val="22"/>
        </w:rPr>
        <w:t xml:space="preserve"> because of failing to properly inform yourself about the impact of a particular decision). </w:t>
      </w:r>
    </w:p>
    <w:p w:rsidR="00322C24" w:rsidRDefault="00322C24" w:rsidP="00322C24">
      <w:pPr>
        <w:pStyle w:val="ListParagraph"/>
        <w:rPr>
          <w:i/>
          <w:sz w:val="22"/>
          <w:szCs w:val="22"/>
        </w:rPr>
      </w:pPr>
    </w:p>
    <w:p w:rsidR="00746EA1" w:rsidRPr="00732A8B" w:rsidRDefault="00746EA1" w:rsidP="00746EA1">
      <w:pPr>
        <w:numPr>
          <w:ilvl w:val="0"/>
          <w:numId w:val="12"/>
        </w:numPr>
        <w:rPr>
          <w:b/>
          <w:i/>
          <w:sz w:val="22"/>
          <w:szCs w:val="22"/>
        </w:rPr>
      </w:pPr>
      <w:r w:rsidRPr="00732A8B">
        <w:rPr>
          <w:i/>
          <w:sz w:val="22"/>
          <w:szCs w:val="22"/>
        </w:rPr>
        <w:t xml:space="preserve">What does ‘due regard’ entail? </w:t>
      </w:r>
    </w:p>
    <w:p w:rsidR="00746EA1" w:rsidRPr="00732A8B" w:rsidRDefault="00746EA1" w:rsidP="00746EA1">
      <w:pPr>
        <w:numPr>
          <w:ilvl w:val="1"/>
          <w:numId w:val="12"/>
        </w:numPr>
        <w:rPr>
          <w:b/>
          <w:i/>
          <w:sz w:val="22"/>
          <w:szCs w:val="22"/>
        </w:rPr>
      </w:pPr>
      <w:r w:rsidRPr="00732A8B">
        <w:rPr>
          <w:b/>
          <w:i/>
          <w:sz w:val="22"/>
          <w:szCs w:val="22"/>
        </w:rPr>
        <w:t xml:space="preserve">Collection and consideration of data and information; </w:t>
      </w:r>
    </w:p>
    <w:p w:rsidR="00746EA1" w:rsidRPr="00732A8B" w:rsidRDefault="00746EA1" w:rsidP="00746EA1">
      <w:pPr>
        <w:numPr>
          <w:ilvl w:val="1"/>
          <w:numId w:val="12"/>
        </w:numPr>
        <w:rPr>
          <w:b/>
          <w:i/>
          <w:sz w:val="22"/>
          <w:szCs w:val="22"/>
        </w:rPr>
      </w:pPr>
      <w:r w:rsidRPr="00732A8B">
        <w:rPr>
          <w:b/>
          <w:i/>
          <w:sz w:val="22"/>
          <w:szCs w:val="22"/>
        </w:rPr>
        <w:t xml:space="preserve">ensuring data is sufficient to assess the decision/any potential discrimination/ensure equality of opportunity; </w:t>
      </w:r>
    </w:p>
    <w:p w:rsidR="00746EA1" w:rsidRPr="00732A8B" w:rsidRDefault="00746EA1" w:rsidP="00746EA1">
      <w:pPr>
        <w:numPr>
          <w:ilvl w:val="1"/>
          <w:numId w:val="12"/>
        </w:numPr>
        <w:rPr>
          <w:b/>
          <w:i/>
          <w:sz w:val="22"/>
          <w:szCs w:val="22"/>
        </w:rPr>
      </w:pPr>
      <w:r w:rsidRPr="00732A8B">
        <w:rPr>
          <w:b/>
          <w:i/>
          <w:sz w:val="22"/>
          <w:szCs w:val="22"/>
        </w:rPr>
        <w:t>proper appreciation of the extent, nature and duration of the proposal or decision.</w:t>
      </w:r>
    </w:p>
    <w:p w:rsidR="00746EA1" w:rsidRDefault="00746EA1" w:rsidP="00746EA1">
      <w:pPr>
        <w:numPr>
          <w:ilvl w:val="0"/>
          <w:numId w:val="12"/>
        </w:numPr>
        <w:rPr>
          <w:i/>
          <w:sz w:val="22"/>
          <w:szCs w:val="22"/>
        </w:rPr>
      </w:pPr>
      <w:r w:rsidRPr="00732A8B">
        <w:rPr>
          <w:b/>
          <w:i/>
          <w:sz w:val="22"/>
          <w:szCs w:val="22"/>
        </w:rPr>
        <w:lastRenderedPageBreak/>
        <w:t>Responsibility</w:t>
      </w:r>
      <w:r w:rsidRPr="00732A8B">
        <w:rPr>
          <w:i/>
          <w:sz w:val="22"/>
          <w:szCs w:val="22"/>
        </w:rPr>
        <w:t xml:space="preserve"> for discharging can’t be delegated or sub-contracted (although an equality impact assessment (“EIA”)can be undertaken by officers, decision makers must be sufficiently aware of the outcome).</w:t>
      </w:r>
    </w:p>
    <w:p w:rsidR="00322C24" w:rsidRPr="00732A8B" w:rsidRDefault="00322C24" w:rsidP="00322C24">
      <w:pPr>
        <w:ind w:left="360"/>
        <w:rPr>
          <w:i/>
          <w:sz w:val="22"/>
          <w:szCs w:val="22"/>
        </w:rPr>
      </w:pPr>
    </w:p>
    <w:p w:rsidR="00746EA1" w:rsidRPr="00732A8B" w:rsidRDefault="00746EA1" w:rsidP="00746EA1">
      <w:pPr>
        <w:numPr>
          <w:ilvl w:val="0"/>
          <w:numId w:val="12"/>
        </w:numPr>
        <w:rPr>
          <w:i/>
          <w:sz w:val="22"/>
          <w:szCs w:val="22"/>
        </w:rPr>
      </w:pPr>
      <w:r w:rsidRPr="00732A8B">
        <w:rPr>
          <w:b/>
          <w:i/>
          <w:sz w:val="22"/>
          <w:szCs w:val="22"/>
        </w:rPr>
        <w:t xml:space="preserve">Document the process </w:t>
      </w:r>
      <w:r w:rsidRPr="00732A8B">
        <w:rPr>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2" w:history="1">
        <w:r w:rsidRPr="00732A8B">
          <w:rPr>
            <w:rStyle w:val="Hyperlink"/>
            <w:i/>
            <w:sz w:val="22"/>
            <w:szCs w:val="22"/>
          </w:rPr>
          <w:t>http://occweb/files/seealsodocs/93561/Equalities%20-%20Initial%20Equality%20Impact%20Assessment%20screening%20template.doc</w:t>
        </w:r>
      </w:hyperlink>
    </w:p>
    <w:p w:rsidR="00746EA1" w:rsidRDefault="00746EA1" w:rsidP="00746EA1">
      <w:pPr>
        <w:rPr>
          <w:b/>
        </w:rPr>
      </w:pPr>
    </w:p>
    <w:p w:rsidR="00746EA1" w:rsidRDefault="00746EA1" w:rsidP="00746EA1">
      <w:pPr>
        <w:numPr>
          <w:ilvl w:val="0"/>
          <w:numId w:val="10"/>
        </w:numPr>
        <w:autoSpaceDE w:val="0"/>
        <w:autoSpaceDN w:val="0"/>
        <w:adjustRightInd w:val="0"/>
        <w:rPr>
          <w:color w:val="000000"/>
        </w:rPr>
      </w:pPr>
      <w:r>
        <w:rPr>
          <w:color w:val="000000"/>
        </w:rPr>
        <w:t>Within the aims and objectives of the policy or strategy w</w:t>
      </w:r>
      <w:r w:rsidRPr="00390482">
        <w:rPr>
          <w:color w:val="000000"/>
        </w:rPr>
        <w:t>hich group (s) of people has been identified as being</w:t>
      </w:r>
      <w:r>
        <w:rPr>
          <w:color w:val="000000"/>
        </w:rPr>
        <w:t xml:space="preserve"> potentially</w:t>
      </w:r>
      <w:r w:rsidRPr="00390482">
        <w:rPr>
          <w:color w:val="000000"/>
        </w:rPr>
        <w:t xml:space="preserve"> disadvantaged by your proposals? What are the equality impacts? </w:t>
      </w:r>
    </w:p>
    <w:p w:rsidR="00746EA1" w:rsidRDefault="00746EA1" w:rsidP="00746EA1">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46EA1" w:rsidRPr="009A426F" w:rsidTr="00897C7D">
        <w:tc>
          <w:tcPr>
            <w:tcW w:w="8522" w:type="dxa"/>
            <w:shd w:val="clear" w:color="auto" w:fill="auto"/>
          </w:tcPr>
          <w:p w:rsidR="00746EA1" w:rsidRPr="009A426F" w:rsidRDefault="00746EA1" w:rsidP="00897C7D">
            <w:pPr>
              <w:autoSpaceDE w:val="0"/>
              <w:autoSpaceDN w:val="0"/>
              <w:adjustRightInd w:val="0"/>
              <w:rPr>
                <w:color w:val="000000"/>
              </w:rPr>
            </w:pPr>
            <w:r w:rsidRPr="009A426F">
              <w:rPr>
                <w:color w:val="000000"/>
              </w:rPr>
              <w:t>Living Wage Uplift:</w:t>
            </w:r>
          </w:p>
          <w:p w:rsidR="00746EA1" w:rsidRDefault="00746EA1" w:rsidP="00897C7D">
            <w:pPr>
              <w:autoSpaceDE w:val="0"/>
              <w:autoSpaceDN w:val="0"/>
              <w:adjustRightInd w:val="0"/>
              <w:rPr>
                <w:color w:val="000000"/>
              </w:rPr>
            </w:pPr>
          </w:p>
          <w:p w:rsidR="00746EA1" w:rsidRPr="009A426F" w:rsidRDefault="00746EA1" w:rsidP="00897C7D">
            <w:pPr>
              <w:autoSpaceDE w:val="0"/>
              <w:autoSpaceDN w:val="0"/>
              <w:adjustRightInd w:val="0"/>
              <w:rPr>
                <w:color w:val="000000"/>
              </w:rPr>
            </w:pPr>
            <w:r w:rsidRPr="009A426F">
              <w:rPr>
                <w:color w:val="000000"/>
              </w:rPr>
              <w:t>The aims of the policy commitment to an Oxford Living Wage (OLW)</w:t>
            </w:r>
            <w:r>
              <w:rPr>
                <w:color w:val="000000"/>
              </w:rPr>
              <w:t xml:space="preserve"> are</w:t>
            </w:r>
            <w:r w:rsidRPr="009A426F">
              <w:rPr>
                <w:color w:val="000000"/>
              </w:rPr>
              <w:t xml:space="preserve"> (1) continue with the commitment to pay the Oxford Living Wage, which was originally implemented in April 2009, to recognise that Oxford is an expensive place to live and work, (2) agree to introduce a sensible mechanism to uplift the living wage with an alignment of the Oxford Living Wage to reflect any changes in the broader national economy and to maintain an Oxford rate at an affordable % against the London Living Wage</w:t>
            </w:r>
            <w:r>
              <w:rPr>
                <w:color w:val="000000"/>
              </w:rPr>
              <w:t>,</w:t>
            </w:r>
            <w:r w:rsidRPr="009A426F">
              <w:rPr>
                <w:color w:val="000000"/>
              </w:rPr>
              <w:t xml:space="preserve"> (3) to assess the likely impact on contractors and to put mitigating actions in place to ensure that they are able to meet a higher pay rate</w:t>
            </w:r>
            <w:r>
              <w:rPr>
                <w:color w:val="000000"/>
              </w:rPr>
              <w:t>, and (4) to publish a methodology that we might encourage other  local employers to adopt as best practice so that the principle of a living wage is not undervalued</w:t>
            </w:r>
          </w:p>
          <w:p w:rsidR="00746EA1" w:rsidRPr="009A426F" w:rsidRDefault="00746EA1" w:rsidP="00897C7D">
            <w:pPr>
              <w:autoSpaceDE w:val="0"/>
              <w:autoSpaceDN w:val="0"/>
              <w:adjustRightInd w:val="0"/>
              <w:rPr>
                <w:color w:val="000000"/>
              </w:rPr>
            </w:pPr>
          </w:p>
          <w:p w:rsidR="00746EA1" w:rsidRPr="009A426F" w:rsidRDefault="00746EA1" w:rsidP="00897C7D">
            <w:pPr>
              <w:autoSpaceDE w:val="0"/>
              <w:autoSpaceDN w:val="0"/>
              <w:adjustRightInd w:val="0"/>
              <w:rPr>
                <w:color w:val="000000"/>
              </w:rPr>
            </w:pPr>
            <w:r w:rsidRPr="009A426F">
              <w:rPr>
                <w:color w:val="000000"/>
              </w:rPr>
              <w:t xml:space="preserve">It is anticipated that the only </w:t>
            </w:r>
            <w:r>
              <w:rPr>
                <w:color w:val="000000"/>
              </w:rPr>
              <w:t xml:space="preserve">direct </w:t>
            </w:r>
            <w:r w:rsidRPr="009A426F">
              <w:rPr>
                <w:color w:val="000000"/>
              </w:rPr>
              <w:t xml:space="preserve">potential impacts are (1) those on the future costs of procurement rather than on an individual level, and (2) ensuring that adjustment mechanisms to the OLW are applied each April to allow time for budgeting and implementation. </w:t>
            </w:r>
          </w:p>
          <w:p w:rsidR="00746EA1" w:rsidRPr="009A426F" w:rsidRDefault="00746EA1" w:rsidP="00897C7D">
            <w:pPr>
              <w:autoSpaceDE w:val="0"/>
              <w:autoSpaceDN w:val="0"/>
              <w:adjustRightInd w:val="0"/>
              <w:rPr>
                <w:color w:val="000000"/>
              </w:rPr>
            </w:pPr>
          </w:p>
          <w:p w:rsidR="00746EA1" w:rsidRPr="009A426F" w:rsidRDefault="00746EA1" w:rsidP="00897C7D">
            <w:r w:rsidRPr="009A426F">
              <w:t>We believe that by being only one of 18 local authorities committed to paying the national living wage (£7.65), and indeed going well beyond this level (to a proposed rate of £8.36 effective from April 2014), the policy has a strong socio economic impact across all protected characteristics recognised under the Equality Act 2010</w:t>
            </w:r>
            <w:r>
              <w:t xml:space="preserve"> and might encourage other local employers to follow suit</w:t>
            </w:r>
          </w:p>
          <w:p w:rsidR="00746EA1" w:rsidRPr="009A426F" w:rsidRDefault="00746EA1" w:rsidP="00897C7D"/>
          <w:p w:rsidR="00746EA1" w:rsidRPr="009A426F" w:rsidRDefault="00746EA1" w:rsidP="00897C7D">
            <w:pPr>
              <w:jc w:val="both"/>
              <w:rPr>
                <w:color w:val="000000"/>
              </w:rPr>
            </w:pPr>
          </w:p>
        </w:tc>
      </w:tr>
    </w:tbl>
    <w:p w:rsidR="00746EA1" w:rsidRDefault="00746EA1" w:rsidP="00746EA1">
      <w:pPr>
        <w:autoSpaceDE w:val="0"/>
        <w:autoSpaceDN w:val="0"/>
        <w:adjustRightInd w:val="0"/>
        <w:rPr>
          <w:color w:val="000000"/>
        </w:rPr>
      </w:pPr>
    </w:p>
    <w:p w:rsidR="00746EA1" w:rsidRPr="00390482" w:rsidRDefault="00746EA1" w:rsidP="00746EA1">
      <w:pPr>
        <w:autoSpaceDE w:val="0"/>
        <w:autoSpaceDN w:val="0"/>
        <w:adjustRightInd w:val="0"/>
        <w:rPr>
          <w:color w:val="000000"/>
        </w:rPr>
      </w:pPr>
    </w:p>
    <w:p w:rsidR="00746EA1" w:rsidRPr="00040397" w:rsidRDefault="00746EA1" w:rsidP="00746EA1">
      <w:pPr>
        <w:numPr>
          <w:ilvl w:val="0"/>
          <w:numId w:val="10"/>
        </w:numPr>
        <w:autoSpaceDE w:val="0"/>
        <w:autoSpaceDN w:val="0"/>
        <w:adjustRightInd w:val="0"/>
        <w:rPr>
          <w:bCs/>
          <w:lang w:eastAsia="en-GB"/>
        </w:rPr>
      </w:pPr>
      <w:r w:rsidRPr="00390482">
        <w:rPr>
          <w:color w:val="000000"/>
        </w:rPr>
        <w:t xml:space="preserve">In brief, what changes are you planning to make to your current or proposed new or changed policy, strategy, procedure, project or service to minimise or eliminate the adverse equality impacts? </w:t>
      </w:r>
    </w:p>
    <w:p w:rsidR="00746EA1" w:rsidRPr="00040397" w:rsidRDefault="00746EA1" w:rsidP="00746EA1">
      <w:pPr>
        <w:autoSpaceDE w:val="0"/>
        <w:autoSpaceDN w:val="0"/>
        <w:adjustRightInd w:val="0"/>
        <w:rPr>
          <w:bCs/>
          <w:lang w:eastAsia="en-GB"/>
        </w:rPr>
      </w:pPr>
    </w:p>
    <w:p w:rsidR="00746EA1" w:rsidRDefault="00746EA1" w:rsidP="00746EA1">
      <w:pPr>
        <w:autoSpaceDE w:val="0"/>
        <w:autoSpaceDN w:val="0"/>
        <w:adjustRightInd w:val="0"/>
        <w:ind w:left="360"/>
        <w:rPr>
          <w:color w:val="000000"/>
        </w:rPr>
      </w:pPr>
      <w:r>
        <w:rPr>
          <w:color w:val="000000"/>
        </w:rPr>
        <w:t xml:space="preserve">      </w:t>
      </w:r>
      <w:r w:rsidRPr="00390482">
        <w:rPr>
          <w:color w:val="000000"/>
        </w:rPr>
        <w:t xml:space="preserve">Please provide further details of the </w:t>
      </w:r>
      <w:r>
        <w:rPr>
          <w:color w:val="000000"/>
        </w:rPr>
        <w:t xml:space="preserve">proposed actions, timetable for </w:t>
      </w:r>
    </w:p>
    <w:p w:rsidR="00746EA1" w:rsidRDefault="00746EA1" w:rsidP="00746EA1">
      <w:pPr>
        <w:autoSpaceDE w:val="0"/>
        <w:autoSpaceDN w:val="0"/>
        <w:adjustRightInd w:val="0"/>
        <w:ind w:left="360"/>
        <w:rPr>
          <w:color w:val="000000"/>
        </w:rPr>
      </w:pPr>
      <w:r>
        <w:rPr>
          <w:color w:val="000000"/>
        </w:rPr>
        <w:t xml:space="preserve">      </w:t>
      </w:r>
      <w:r w:rsidRPr="00390482">
        <w:rPr>
          <w:color w:val="000000"/>
        </w:rPr>
        <w:t xml:space="preserve">making the changes and the person(s) responsible for making the </w:t>
      </w:r>
    </w:p>
    <w:p w:rsidR="00746EA1" w:rsidRPr="00040397" w:rsidRDefault="00746EA1" w:rsidP="00746EA1">
      <w:pPr>
        <w:autoSpaceDE w:val="0"/>
        <w:autoSpaceDN w:val="0"/>
        <w:adjustRightInd w:val="0"/>
        <w:ind w:left="360"/>
        <w:rPr>
          <w:color w:val="000000"/>
        </w:rPr>
      </w:pPr>
      <w:r>
        <w:rPr>
          <w:color w:val="000000"/>
        </w:rPr>
        <w:t xml:space="preserve">      </w:t>
      </w:r>
      <w:r w:rsidRPr="00390482">
        <w:rPr>
          <w:color w:val="000000"/>
        </w:rPr>
        <w:t>changes on the resultant action plan</w:t>
      </w:r>
      <w:r>
        <w:rPr>
          <w:color w:val="000000"/>
        </w:rPr>
        <w:t xml:space="preserve"> </w:t>
      </w:r>
    </w:p>
    <w:p w:rsidR="00746EA1" w:rsidRPr="00040397" w:rsidRDefault="00746EA1" w:rsidP="00746EA1">
      <w:pPr>
        <w:autoSpaceDE w:val="0"/>
        <w:autoSpaceDN w:val="0"/>
        <w:adjustRightInd w:val="0"/>
        <w:ind w:left="360"/>
        <w:rPr>
          <w:color w:val="000000"/>
        </w:rPr>
      </w:pPr>
    </w:p>
    <w:p w:rsidR="00746EA1" w:rsidRDefault="00746EA1" w:rsidP="00746EA1">
      <w:pPr>
        <w:autoSpaceDE w:val="0"/>
        <w:autoSpaceDN w:val="0"/>
        <w:adjustRightInd w:val="0"/>
        <w:ind w:left="360"/>
        <w:rPr>
          <w:color w:val="000000"/>
        </w:rPr>
      </w:pPr>
    </w:p>
    <w:p w:rsidR="00746EA1" w:rsidRDefault="00746EA1" w:rsidP="00746EA1">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46EA1" w:rsidRPr="009A426F" w:rsidTr="00897C7D">
        <w:tc>
          <w:tcPr>
            <w:tcW w:w="8522" w:type="dxa"/>
            <w:shd w:val="clear" w:color="auto" w:fill="auto"/>
          </w:tcPr>
          <w:p w:rsidR="00746EA1" w:rsidRPr="009A426F" w:rsidRDefault="00746EA1" w:rsidP="00897C7D">
            <w:pPr>
              <w:autoSpaceDE w:val="0"/>
              <w:autoSpaceDN w:val="0"/>
              <w:adjustRightInd w:val="0"/>
              <w:rPr>
                <w:bCs/>
                <w:lang w:eastAsia="en-GB"/>
              </w:rPr>
            </w:pPr>
          </w:p>
          <w:p w:rsidR="00746EA1" w:rsidRPr="009A426F" w:rsidRDefault="00746EA1" w:rsidP="00897C7D">
            <w:pPr>
              <w:autoSpaceDE w:val="0"/>
              <w:autoSpaceDN w:val="0"/>
              <w:adjustRightInd w:val="0"/>
              <w:rPr>
                <w:bCs/>
                <w:lang w:eastAsia="en-GB"/>
              </w:rPr>
            </w:pPr>
            <w:r w:rsidRPr="009A426F">
              <w:rPr>
                <w:bCs/>
                <w:lang w:eastAsia="en-GB"/>
              </w:rPr>
              <w:t>The only significant change proposed by the policy is to set the Oxford Living Wage at £8.36, 95% of the London Living Wage level (currently £8.80), to reflect the fact that Oxford is the most expensive place to live outside London.</w:t>
            </w:r>
          </w:p>
          <w:p w:rsidR="00746EA1" w:rsidRPr="009A426F" w:rsidRDefault="00746EA1" w:rsidP="00897C7D">
            <w:pPr>
              <w:autoSpaceDE w:val="0"/>
              <w:autoSpaceDN w:val="0"/>
              <w:adjustRightInd w:val="0"/>
              <w:rPr>
                <w:bCs/>
                <w:lang w:eastAsia="en-GB"/>
              </w:rPr>
            </w:pPr>
          </w:p>
          <w:p w:rsidR="00746EA1" w:rsidRPr="009A426F" w:rsidRDefault="00746EA1" w:rsidP="00897C7D">
            <w:pPr>
              <w:autoSpaceDE w:val="0"/>
              <w:autoSpaceDN w:val="0"/>
              <w:adjustRightInd w:val="0"/>
              <w:rPr>
                <w:bCs/>
                <w:lang w:eastAsia="en-GB"/>
              </w:rPr>
            </w:pPr>
            <w:r w:rsidRPr="009A426F">
              <w:rPr>
                <w:bCs/>
                <w:lang w:eastAsia="en-GB"/>
              </w:rPr>
              <w:t>The proposal to introduce and maintain a percentage differential between the OLW and London Living Wage will reflect an annual cycle and be effective from April in each financial/ calendar year should an uplift be required.</w:t>
            </w:r>
          </w:p>
          <w:p w:rsidR="00746EA1" w:rsidRPr="009A426F" w:rsidRDefault="00746EA1" w:rsidP="00897C7D">
            <w:pPr>
              <w:autoSpaceDE w:val="0"/>
              <w:autoSpaceDN w:val="0"/>
              <w:adjustRightInd w:val="0"/>
              <w:rPr>
                <w:bCs/>
                <w:lang w:eastAsia="en-GB"/>
              </w:rPr>
            </w:pPr>
          </w:p>
          <w:p w:rsidR="00746EA1" w:rsidRPr="009A426F" w:rsidRDefault="00746EA1" w:rsidP="00897C7D">
            <w:pPr>
              <w:autoSpaceDE w:val="0"/>
              <w:autoSpaceDN w:val="0"/>
              <w:adjustRightInd w:val="0"/>
              <w:rPr>
                <w:bCs/>
                <w:lang w:eastAsia="en-GB"/>
              </w:rPr>
            </w:pPr>
            <w:r w:rsidRPr="009A426F">
              <w:rPr>
                <w:bCs/>
                <w:lang w:eastAsia="en-GB"/>
              </w:rPr>
              <w:t>The Council has identified that the biggest single financial impacts will be that the annual costs of the Fusion contract will increase by another £36k (the difference in the uplift from the £8.13 already budgeted for to the new rate of £8.36), and potentially that future costs of procurement might rise. However, it is not anticipated that significant adjustments in the medium term financial plan will be necessary to meet these additional costs.</w:t>
            </w:r>
          </w:p>
          <w:p w:rsidR="00746EA1" w:rsidRPr="009A426F" w:rsidRDefault="00746EA1" w:rsidP="00897C7D">
            <w:pPr>
              <w:autoSpaceDE w:val="0"/>
              <w:autoSpaceDN w:val="0"/>
              <w:adjustRightInd w:val="0"/>
              <w:rPr>
                <w:bCs/>
                <w:lang w:eastAsia="en-GB"/>
              </w:rPr>
            </w:pPr>
          </w:p>
          <w:p w:rsidR="00746EA1" w:rsidRPr="009A426F" w:rsidRDefault="00746EA1" w:rsidP="00897C7D">
            <w:pPr>
              <w:autoSpaceDE w:val="0"/>
              <w:autoSpaceDN w:val="0"/>
              <w:adjustRightInd w:val="0"/>
              <w:rPr>
                <w:bCs/>
                <w:lang w:eastAsia="en-GB"/>
              </w:rPr>
            </w:pPr>
            <w:r w:rsidRPr="009A426F">
              <w:rPr>
                <w:bCs/>
                <w:lang w:eastAsia="en-GB"/>
              </w:rPr>
              <w:t>Note: The Council has already paid considerable attention to its lowest paid staff as part of its five year pay bargaining deal (see excerpt from paragraph 5 in the report below) and is already paying staff above the OLW:</w:t>
            </w:r>
          </w:p>
          <w:p w:rsidR="00746EA1" w:rsidRPr="009A426F" w:rsidRDefault="00746EA1" w:rsidP="00897C7D">
            <w:pPr>
              <w:autoSpaceDE w:val="0"/>
              <w:autoSpaceDN w:val="0"/>
              <w:adjustRightInd w:val="0"/>
              <w:rPr>
                <w:i/>
              </w:rPr>
            </w:pPr>
            <w:r w:rsidRPr="009A426F">
              <w:rPr>
                <w:i/>
              </w:rPr>
              <w:t>“as part of the 2013 / 2018 pay agreement, attention was given to Oxford City Council lower paid staff meaning that with effect from 1 October 2013, no City Council employee (apart from some previously agreed apprentices) or agency worker earns less than £8.85 per hour (the lowest spinal column point on the lowest grade, grade 3)”</w:t>
            </w:r>
          </w:p>
          <w:p w:rsidR="00746EA1" w:rsidRPr="009A426F" w:rsidRDefault="00746EA1" w:rsidP="00897C7D">
            <w:pPr>
              <w:autoSpaceDE w:val="0"/>
              <w:autoSpaceDN w:val="0"/>
              <w:adjustRightInd w:val="0"/>
              <w:rPr>
                <w:bCs/>
                <w:lang w:eastAsia="en-GB"/>
              </w:rPr>
            </w:pPr>
          </w:p>
          <w:p w:rsidR="00746EA1" w:rsidRPr="00305EF2" w:rsidRDefault="00746EA1" w:rsidP="00897C7D">
            <w:pPr>
              <w:autoSpaceDE w:val="0"/>
              <w:autoSpaceDN w:val="0"/>
              <w:adjustRightInd w:val="0"/>
              <w:rPr>
                <w:lang w:eastAsia="en-GB"/>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p>
        </w:tc>
      </w:tr>
    </w:tbl>
    <w:p w:rsidR="00746EA1" w:rsidRPr="00390482" w:rsidRDefault="00746EA1" w:rsidP="00746EA1">
      <w:pPr>
        <w:autoSpaceDE w:val="0"/>
        <w:autoSpaceDN w:val="0"/>
        <w:adjustRightInd w:val="0"/>
        <w:rPr>
          <w:bCs/>
          <w:lang w:eastAsia="en-GB"/>
        </w:rPr>
      </w:pPr>
    </w:p>
    <w:p w:rsidR="00746EA1" w:rsidRPr="00040397" w:rsidRDefault="00746EA1" w:rsidP="00746EA1">
      <w:pPr>
        <w:numPr>
          <w:ilvl w:val="0"/>
          <w:numId w:val="10"/>
        </w:numPr>
        <w:autoSpaceDE w:val="0"/>
        <w:autoSpaceDN w:val="0"/>
        <w:adjustRightInd w:val="0"/>
        <w:rPr>
          <w:bCs/>
          <w:lang w:eastAsia="en-GB"/>
        </w:rPr>
      </w:pPr>
      <w:r w:rsidRPr="00390482">
        <w:t xml:space="preserve">Please provide details of whom you will consult on the proposed changes and if you do not plan to consult, please provide the rationale behind that decision. </w:t>
      </w:r>
    </w:p>
    <w:p w:rsidR="00746EA1" w:rsidRDefault="00746EA1" w:rsidP="00746EA1">
      <w:pPr>
        <w:autoSpaceDE w:val="0"/>
        <w:autoSpaceDN w:val="0"/>
        <w:adjustRightInd w:val="0"/>
        <w:rPr>
          <w:bCs/>
          <w:lang w:eastAsia="en-GB"/>
        </w:rPr>
      </w:pPr>
    </w:p>
    <w:p w:rsidR="00746EA1" w:rsidRDefault="00746EA1" w:rsidP="00746EA1">
      <w:pPr>
        <w:autoSpaceDE w:val="0"/>
        <w:autoSpaceDN w:val="0"/>
        <w:adjustRightInd w:val="0"/>
      </w:pPr>
      <w:r>
        <w:rPr>
          <w:bCs/>
          <w:lang w:eastAsia="en-GB"/>
        </w:rPr>
        <w:t xml:space="preserve">           </w:t>
      </w:r>
      <w:r w:rsidRPr="00390482">
        <w:t>Please note that you are require</w:t>
      </w:r>
      <w:r>
        <w:t xml:space="preserve">d to involve disabled people in  </w:t>
      </w:r>
    </w:p>
    <w:p w:rsidR="00746EA1" w:rsidRPr="00040397" w:rsidRDefault="00746EA1" w:rsidP="00746EA1">
      <w:pPr>
        <w:autoSpaceDE w:val="0"/>
        <w:autoSpaceDN w:val="0"/>
        <w:adjustRightInd w:val="0"/>
      </w:pPr>
      <w:r>
        <w:t xml:space="preserve">           </w:t>
      </w:r>
      <w:r w:rsidRPr="00390482">
        <w:t>decisions that impact on them</w:t>
      </w:r>
    </w:p>
    <w:p w:rsidR="00746EA1" w:rsidRDefault="00746EA1" w:rsidP="00746EA1">
      <w:pPr>
        <w:autoSpaceDE w:val="0"/>
        <w:autoSpaceDN w:val="0"/>
        <w:adjustRightInd w:val="0"/>
      </w:pPr>
      <w:r>
        <w:t xml:space="preserve">  </w:t>
      </w:r>
    </w:p>
    <w:p w:rsidR="00746EA1" w:rsidRDefault="00746EA1" w:rsidP="00746EA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46EA1" w:rsidRPr="009A426F" w:rsidTr="00897C7D">
        <w:tc>
          <w:tcPr>
            <w:tcW w:w="8522" w:type="dxa"/>
            <w:shd w:val="clear" w:color="auto" w:fill="auto"/>
          </w:tcPr>
          <w:p w:rsidR="00746EA1" w:rsidRPr="009A426F" w:rsidRDefault="00746EA1" w:rsidP="00897C7D">
            <w:pPr>
              <w:autoSpaceDE w:val="0"/>
              <w:autoSpaceDN w:val="0"/>
              <w:adjustRightInd w:val="0"/>
            </w:pPr>
          </w:p>
          <w:p w:rsidR="00746EA1" w:rsidRPr="009A426F" w:rsidRDefault="00746EA1" w:rsidP="00897C7D">
            <w:pPr>
              <w:autoSpaceDE w:val="0"/>
              <w:autoSpaceDN w:val="0"/>
              <w:adjustRightInd w:val="0"/>
            </w:pPr>
            <w:r w:rsidRPr="009A426F">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p>
          <w:p w:rsidR="00746EA1" w:rsidRPr="009A426F" w:rsidRDefault="00746EA1" w:rsidP="00897C7D">
            <w:pPr>
              <w:autoSpaceDE w:val="0"/>
              <w:autoSpaceDN w:val="0"/>
              <w:adjustRightInd w:val="0"/>
            </w:pPr>
          </w:p>
        </w:tc>
      </w:tr>
    </w:tbl>
    <w:p w:rsidR="00746EA1" w:rsidRDefault="00746EA1" w:rsidP="00746EA1">
      <w:pPr>
        <w:autoSpaceDE w:val="0"/>
        <w:autoSpaceDN w:val="0"/>
        <w:adjustRightInd w:val="0"/>
      </w:pPr>
    </w:p>
    <w:p w:rsidR="00746EA1" w:rsidRPr="00390482" w:rsidRDefault="00746EA1" w:rsidP="00746EA1">
      <w:pPr>
        <w:autoSpaceDE w:val="0"/>
        <w:autoSpaceDN w:val="0"/>
        <w:adjustRightInd w:val="0"/>
        <w:rPr>
          <w:bCs/>
          <w:lang w:eastAsia="en-GB"/>
        </w:rPr>
      </w:pPr>
    </w:p>
    <w:p w:rsidR="00746EA1" w:rsidRPr="00040397" w:rsidRDefault="00746EA1" w:rsidP="00746EA1">
      <w:pPr>
        <w:numPr>
          <w:ilvl w:val="0"/>
          <w:numId w:val="10"/>
        </w:numPr>
        <w:autoSpaceDE w:val="0"/>
        <w:autoSpaceDN w:val="0"/>
        <w:adjustRightInd w:val="0"/>
        <w:rPr>
          <w:bCs/>
          <w:lang w:eastAsia="en-GB"/>
        </w:rPr>
      </w:pPr>
      <w:r w:rsidRPr="00390482">
        <w:t xml:space="preserve">Can the adverse impacts you identified during the initial screening be justified without making any adjustments to the existing or new policy, strategy, procedure, project or service? </w:t>
      </w:r>
    </w:p>
    <w:p w:rsidR="00746EA1" w:rsidRDefault="00746EA1" w:rsidP="00746EA1">
      <w:pPr>
        <w:autoSpaceDE w:val="0"/>
        <w:autoSpaceDN w:val="0"/>
        <w:adjustRightInd w:val="0"/>
        <w:ind w:left="720"/>
        <w:rPr>
          <w:bCs/>
          <w:lang w:eastAsia="en-GB"/>
        </w:rPr>
      </w:pPr>
    </w:p>
    <w:p w:rsidR="00746EA1" w:rsidRPr="00D70EAD" w:rsidRDefault="00746EA1" w:rsidP="00746EA1">
      <w:pPr>
        <w:autoSpaceDE w:val="0"/>
        <w:autoSpaceDN w:val="0"/>
        <w:adjustRightInd w:val="0"/>
        <w:ind w:left="360"/>
        <w:rPr>
          <w:bCs/>
          <w:lang w:eastAsia="en-GB"/>
        </w:rPr>
      </w:pPr>
      <w:r>
        <w:rPr>
          <w:bCs/>
          <w:lang w:eastAsia="en-GB"/>
        </w:rPr>
        <w:t xml:space="preserve">      </w:t>
      </w:r>
      <w:r w:rsidRPr="00390482">
        <w:t>Please set out the basis on which you justify making no adjustments</w:t>
      </w:r>
    </w:p>
    <w:p w:rsidR="00746EA1" w:rsidRDefault="00746EA1" w:rsidP="00746EA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46EA1" w:rsidRPr="009A426F" w:rsidTr="00897C7D">
        <w:tc>
          <w:tcPr>
            <w:tcW w:w="8522" w:type="dxa"/>
            <w:shd w:val="clear" w:color="auto" w:fill="auto"/>
          </w:tcPr>
          <w:p w:rsidR="00746EA1" w:rsidRDefault="00746EA1" w:rsidP="00746EA1">
            <w:pPr>
              <w:autoSpaceDE w:val="0"/>
              <w:autoSpaceDN w:val="0"/>
              <w:adjustRightInd w:val="0"/>
              <w:rPr>
                <w:bCs/>
                <w:lang w:eastAsia="en-GB"/>
              </w:rPr>
            </w:pPr>
            <w:r>
              <w:rPr>
                <w:bCs/>
                <w:lang w:eastAsia="en-GB"/>
              </w:rPr>
              <w:t xml:space="preserve">A </w:t>
            </w:r>
            <w:r w:rsidRPr="009A426F">
              <w:rPr>
                <w:bCs/>
                <w:lang w:eastAsia="en-GB"/>
              </w:rPr>
              <w:t>risk assessment (Appendix 2) covers the benefits of introducing the uplift for the living wage. No major adjustments are anticipated.</w:t>
            </w:r>
          </w:p>
          <w:p w:rsidR="00746EA1" w:rsidRPr="009A426F" w:rsidRDefault="00746EA1" w:rsidP="00746EA1">
            <w:pPr>
              <w:autoSpaceDE w:val="0"/>
              <w:autoSpaceDN w:val="0"/>
              <w:adjustRightInd w:val="0"/>
              <w:rPr>
                <w:bCs/>
                <w:lang w:eastAsia="en-GB"/>
              </w:rPr>
            </w:pPr>
          </w:p>
        </w:tc>
      </w:tr>
    </w:tbl>
    <w:p w:rsidR="00746EA1" w:rsidRPr="00390482" w:rsidRDefault="00746EA1" w:rsidP="00746EA1">
      <w:pPr>
        <w:autoSpaceDE w:val="0"/>
        <w:autoSpaceDN w:val="0"/>
        <w:adjustRightInd w:val="0"/>
        <w:rPr>
          <w:bCs/>
          <w:lang w:eastAsia="en-GB"/>
        </w:rPr>
      </w:pPr>
    </w:p>
    <w:p w:rsidR="00746EA1" w:rsidRDefault="00746EA1" w:rsidP="00746EA1">
      <w:pPr>
        <w:pStyle w:val="Normal2"/>
        <w:numPr>
          <w:ilvl w:val="0"/>
          <w:numId w:val="10"/>
        </w:numPr>
      </w:pPr>
      <w:r w:rsidRPr="00390482">
        <w:t xml:space="preserve">You are legally required to monitor and review the proposed changes after implementation to check they work as planned and to screen for unexpected equality impacts. </w:t>
      </w:r>
    </w:p>
    <w:p w:rsidR="00746EA1" w:rsidRDefault="00746EA1" w:rsidP="00746EA1">
      <w:pPr>
        <w:pStyle w:val="Normal2"/>
      </w:pPr>
    </w:p>
    <w:p w:rsidR="00746EA1" w:rsidRDefault="00746EA1" w:rsidP="00746EA1">
      <w:pPr>
        <w:pStyle w:val="Normal2"/>
        <w:ind w:left="360"/>
      </w:pPr>
      <w:r>
        <w:t xml:space="preserve">      </w:t>
      </w:r>
      <w:r w:rsidRPr="00390482">
        <w:t xml:space="preserve">Please provide details of how you will monitor/evaluate or review your </w:t>
      </w:r>
    </w:p>
    <w:p w:rsidR="00746EA1" w:rsidRDefault="00746EA1" w:rsidP="00746EA1">
      <w:pPr>
        <w:pStyle w:val="Normal2"/>
        <w:ind w:left="360"/>
      </w:pPr>
      <w:r>
        <w:t xml:space="preserve">      </w:t>
      </w:r>
      <w:r w:rsidRPr="00390482">
        <w:t>proposals and when the review will take place</w:t>
      </w:r>
      <w:r>
        <w:t xml:space="preserve"> </w:t>
      </w:r>
    </w:p>
    <w:p w:rsidR="00746EA1" w:rsidRPr="00040397" w:rsidRDefault="00746EA1" w:rsidP="00746EA1">
      <w:pPr>
        <w:rPr>
          <w:lang w:eastAsia="en-GB"/>
        </w:rPr>
      </w:pPr>
    </w:p>
    <w:p w:rsidR="00746EA1" w:rsidRDefault="00746EA1" w:rsidP="00746EA1">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46EA1" w:rsidTr="00897C7D">
        <w:tc>
          <w:tcPr>
            <w:tcW w:w="8522" w:type="dxa"/>
            <w:shd w:val="clear" w:color="auto" w:fill="auto"/>
          </w:tcPr>
          <w:p w:rsidR="00746EA1" w:rsidRDefault="00746EA1" w:rsidP="00897C7D">
            <w:pPr>
              <w:rPr>
                <w:lang w:eastAsia="en-GB"/>
              </w:rPr>
            </w:pPr>
            <w:r w:rsidRPr="009A426F">
              <w:t>The proposal to introduce and maintain a percentage differential between the Oxford Living Wage and the London Living Wage will be subject to an annual review by the Head of HR and sign offs from Finance and Legal.</w:t>
            </w:r>
          </w:p>
        </w:tc>
      </w:tr>
    </w:tbl>
    <w:p w:rsidR="00746EA1" w:rsidRPr="00D70EAD" w:rsidRDefault="00746EA1" w:rsidP="00746EA1">
      <w:pPr>
        <w:rPr>
          <w:lang w:eastAsia="en-GB"/>
        </w:rPr>
      </w:pPr>
    </w:p>
    <w:p w:rsidR="00746EA1" w:rsidRPr="00D70EAD" w:rsidRDefault="00746EA1" w:rsidP="00746EA1">
      <w:bookmarkStart w:id="0" w:name="_GoBack"/>
      <w:bookmarkEnd w:id="0"/>
      <w:r>
        <w:t xml:space="preserve">    </w:t>
      </w:r>
    </w:p>
    <w:p w:rsidR="00746EA1" w:rsidRDefault="00746EA1" w:rsidP="00746EA1"/>
    <w:sectPr w:rsidR="00746EA1" w:rsidSect="00924D0B">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AC" w:rsidRDefault="00283CAC">
      <w:r>
        <w:separator/>
      </w:r>
    </w:p>
  </w:endnote>
  <w:endnote w:type="continuationSeparator" w:id="0">
    <w:p w:rsidR="00283CAC" w:rsidRDefault="0028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undryForm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5051"/>
      <w:docPartObj>
        <w:docPartGallery w:val="Page Numbers (Bottom of Page)"/>
        <w:docPartUnique/>
      </w:docPartObj>
    </w:sdtPr>
    <w:sdtEndPr>
      <w:rPr>
        <w:noProof/>
      </w:rPr>
    </w:sdtEndPr>
    <w:sdtContent>
      <w:p w:rsidR="00684BA7" w:rsidRDefault="00684BA7">
        <w:pPr>
          <w:pStyle w:val="Footer"/>
          <w:jc w:val="right"/>
        </w:pPr>
        <w:r>
          <w:fldChar w:fldCharType="begin"/>
        </w:r>
        <w:r>
          <w:instrText xml:space="preserve"> PAGE   \* MERGEFORMAT </w:instrText>
        </w:r>
        <w:r>
          <w:fldChar w:fldCharType="separate"/>
        </w:r>
        <w:r w:rsidR="00322C24">
          <w:rPr>
            <w:noProof/>
          </w:rPr>
          <w:t>10</w:t>
        </w:r>
        <w:r>
          <w:rPr>
            <w:noProof/>
          </w:rPr>
          <w:fldChar w:fldCharType="end"/>
        </w:r>
      </w:p>
    </w:sdtContent>
  </w:sdt>
  <w:p w:rsidR="00684BA7" w:rsidRDefault="0068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AC" w:rsidRDefault="00283CAC">
      <w:r>
        <w:separator/>
      </w:r>
    </w:p>
  </w:footnote>
  <w:footnote w:type="continuationSeparator" w:id="0">
    <w:p w:rsidR="00283CAC" w:rsidRDefault="0028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116"/>
    <w:multiLevelType w:val="hybridMultilevel"/>
    <w:tmpl w:val="9DBEE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FD477A"/>
    <w:multiLevelType w:val="hybridMultilevel"/>
    <w:tmpl w:val="19145B7C"/>
    <w:lvl w:ilvl="0" w:tplc="AC06173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5206F"/>
    <w:multiLevelType w:val="hybridMultilevel"/>
    <w:tmpl w:val="09EA9F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2A56B55"/>
    <w:multiLevelType w:val="hybridMultilevel"/>
    <w:tmpl w:val="C01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50AF8"/>
    <w:multiLevelType w:val="hybridMultilevel"/>
    <w:tmpl w:val="E7960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007DD6"/>
    <w:multiLevelType w:val="hybridMultilevel"/>
    <w:tmpl w:val="8D6CF63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3A283E3D"/>
    <w:multiLevelType w:val="hybridMultilevel"/>
    <w:tmpl w:val="4CDC054C"/>
    <w:lvl w:ilvl="0" w:tplc="3F5AEC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734D57"/>
    <w:multiLevelType w:val="hybridMultilevel"/>
    <w:tmpl w:val="A46668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nsid w:val="40B4075D"/>
    <w:multiLevelType w:val="multilevel"/>
    <w:tmpl w:val="3118B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744954"/>
    <w:multiLevelType w:val="hybridMultilevel"/>
    <w:tmpl w:val="D8D024D8"/>
    <w:lvl w:ilvl="0" w:tplc="CB622ADE">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39024E0"/>
    <w:multiLevelType w:val="hybridMultilevel"/>
    <w:tmpl w:val="A0D47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F106135"/>
    <w:multiLevelType w:val="hybridMultilevel"/>
    <w:tmpl w:val="0D42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CCA6B91"/>
    <w:multiLevelType w:val="hybridMultilevel"/>
    <w:tmpl w:val="C9DE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8448C5"/>
    <w:multiLevelType w:val="hybridMultilevel"/>
    <w:tmpl w:val="4CDC054C"/>
    <w:lvl w:ilvl="0" w:tplc="3F5AEC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23270F"/>
    <w:multiLevelType w:val="hybridMultilevel"/>
    <w:tmpl w:val="352AF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FA3ADF"/>
    <w:multiLevelType w:val="hybridMultilevel"/>
    <w:tmpl w:val="74A20AD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38398B"/>
    <w:multiLevelType w:val="hybridMultilevel"/>
    <w:tmpl w:val="A33009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7B181AED"/>
    <w:multiLevelType w:val="hybridMultilevel"/>
    <w:tmpl w:val="7B56F48A"/>
    <w:lvl w:ilvl="0" w:tplc="CB622ADE">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8"/>
  </w:num>
  <w:num w:numId="4">
    <w:abstractNumId w:val="9"/>
  </w:num>
  <w:num w:numId="5">
    <w:abstractNumId w:val="12"/>
  </w:num>
  <w:num w:numId="6">
    <w:abstractNumId w:val="19"/>
  </w:num>
  <w:num w:numId="7">
    <w:abstractNumId w:val="6"/>
  </w:num>
  <w:num w:numId="8">
    <w:abstractNumId w:val="2"/>
  </w:num>
  <w:num w:numId="9">
    <w:abstractNumId w:val="10"/>
  </w:num>
  <w:num w:numId="10">
    <w:abstractNumId w:val="1"/>
  </w:num>
  <w:num w:numId="11">
    <w:abstractNumId w:val="21"/>
  </w:num>
  <w:num w:numId="12">
    <w:abstractNumId w:val="14"/>
  </w:num>
  <w:num w:numId="13">
    <w:abstractNumId w:val="13"/>
  </w:num>
  <w:num w:numId="14">
    <w:abstractNumId w:val="5"/>
  </w:num>
  <w:num w:numId="15">
    <w:abstractNumId w:val="4"/>
  </w:num>
  <w:num w:numId="16">
    <w:abstractNumId w:val="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E0"/>
    <w:rsid w:val="000204D9"/>
    <w:rsid w:val="00034C7C"/>
    <w:rsid w:val="0005765F"/>
    <w:rsid w:val="000B4310"/>
    <w:rsid w:val="000D70E6"/>
    <w:rsid w:val="00120FD1"/>
    <w:rsid w:val="001575F6"/>
    <w:rsid w:val="001F2340"/>
    <w:rsid w:val="00210FC0"/>
    <w:rsid w:val="002232F1"/>
    <w:rsid w:val="00283CAC"/>
    <w:rsid w:val="002C621A"/>
    <w:rsid w:val="003140B3"/>
    <w:rsid w:val="00316CA9"/>
    <w:rsid w:val="00317C52"/>
    <w:rsid w:val="00322C24"/>
    <w:rsid w:val="003642D5"/>
    <w:rsid w:val="003B4277"/>
    <w:rsid w:val="003D31E7"/>
    <w:rsid w:val="003D40DB"/>
    <w:rsid w:val="003F39B1"/>
    <w:rsid w:val="004000D7"/>
    <w:rsid w:val="00413652"/>
    <w:rsid w:val="004D3CD1"/>
    <w:rsid w:val="004E0BCC"/>
    <w:rsid w:val="004F3CE2"/>
    <w:rsid w:val="00504E43"/>
    <w:rsid w:val="005632AE"/>
    <w:rsid w:val="00586B28"/>
    <w:rsid w:val="00591708"/>
    <w:rsid w:val="005F6A50"/>
    <w:rsid w:val="00606864"/>
    <w:rsid w:val="006754E5"/>
    <w:rsid w:val="00684BA7"/>
    <w:rsid w:val="006A2BF8"/>
    <w:rsid w:val="006C7DB7"/>
    <w:rsid w:val="006D49CC"/>
    <w:rsid w:val="006E3AC8"/>
    <w:rsid w:val="0071116F"/>
    <w:rsid w:val="00746EA1"/>
    <w:rsid w:val="007810AD"/>
    <w:rsid w:val="00782A96"/>
    <w:rsid w:val="007908F4"/>
    <w:rsid w:val="007D5288"/>
    <w:rsid w:val="00805095"/>
    <w:rsid w:val="00842E6B"/>
    <w:rsid w:val="008508DB"/>
    <w:rsid w:val="008914AF"/>
    <w:rsid w:val="008A22C6"/>
    <w:rsid w:val="008E287B"/>
    <w:rsid w:val="008E4F05"/>
    <w:rsid w:val="00924D0B"/>
    <w:rsid w:val="009568BD"/>
    <w:rsid w:val="009E0FBE"/>
    <w:rsid w:val="00A142DE"/>
    <w:rsid w:val="00A50FDB"/>
    <w:rsid w:val="00AE4D5C"/>
    <w:rsid w:val="00AF3CFE"/>
    <w:rsid w:val="00B01DB9"/>
    <w:rsid w:val="00B12235"/>
    <w:rsid w:val="00B622A4"/>
    <w:rsid w:val="00B63755"/>
    <w:rsid w:val="00B721E0"/>
    <w:rsid w:val="00C07F80"/>
    <w:rsid w:val="00C106EC"/>
    <w:rsid w:val="00C37B43"/>
    <w:rsid w:val="00C56C88"/>
    <w:rsid w:val="00CB6623"/>
    <w:rsid w:val="00D6147D"/>
    <w:rsid w:val="00D651F1"/>
    <w:rsid w:val="00D75BAE"/>
    <w:rsid w:val="00DA7DFE"/>
    <w:rsid w:val="00E063E6"/>
    <w:rsid w:val="00E105DC"/>
    <w:rsid w:val="00E23193"/>
    <w:rsid w:val="00E25C2B"/>
    <w:rsid w:val="00E96EA3"/>
    <w:rsid w:val="00EC43F7"/>
    <w:rsid w:val="00F14EE4"/>
    <w:rsid w:val="00F530A6"/>
    <w:rsid w:val="00FA5DB5"/>
    <w:rsid w:val="00FD212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B721E0"/>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E0"/>
    <w:rPr>
      <w:rFonts w:eastAsia="Times New Roman" w:cs="Times New Roman"/>
      <w:b/>
      <w:bCs/>
    </w:rPr>
  </w:style>
  <w:style w:type="numbering" w:customStyle="1" w:styleId="NoList1">
    <w:name w:val="No List1"/>
    <w:next w:val="NoList"/>
    <w:uiPriority w:val="99"/>
    <w:semiHidden/>
    <w:unhideWhenUsed/>
    <w:rsid w:val="00B721E0"/>
  </w:style>
  <w:style w:type="character" w:styleId="CommentReference">
    <w:name w:val="annotation reference"/>
    <w:uiPriority w:val="99"/>
    <w:semiHidden/>
    <w:rsid w:val="00B721E0"/>
    <w:rPr>
      <w:sz w:val="16"/>
      <w:szCs w:val="16"/>
    </w:rPr>
  </w:style>
  <w:style w:type="paragraph" w:styleId="CommentText">
    <w:name w:val="annotation text"/>
    <w:basedOn w:val="Normal"/>
    <w:link w:val="CommentTextChar"/>
    <w:semiHidden/>
    <w:rsid w:val="00B721E0"/>
    <w:rPr>
      <w:rFonts w:eastAsia="Times New Roman" w:cs="Times New Roman"/>
      <w:sz w:val="20"/>
      <w:szCs w:val="20"/>
    </w:rPr>
  </w:style>
  <w:style w:type="character" w:customStyle="1" w:styleId="CommentTextChar">
    <w:name w:val="Comment Text Char"/>
    <w:basedOn w:val="DefaultParagraphFont"/>
    <w:link w:val="CommentText"/>
    <w:semiHidden/>
    <w:rsid w:val="00B721E0"/>
    <w:rPr>
      <w:rFonts w:eastAsia="Times New Roman" w:cs="Times New Roman"/>
      <w:sz w:val="20"/>
      <w:szCs w:val="20"/>
    </w:rPr>
  </w:style>
  <w:style w:type="paragraph" w:styleId="ListParagraph">
    <w:name w:val="List Paragraph"/>
    <w:basedOn w:val="Normal"/>
    <w:uiPriority w:val="34"/>
    <w:qFormat/>
    <w:rsid w:val="00B721E0"/>
    <w:pPr>
      <w:ind w:left="720"/>
      <w:contextualSpacing/>
    </w:pPr>
    <w:rPr>
      <w:rFonts w:eastAsia="Calibri"/>
    </w:rPr>
  </w:style>
  <w:style w:type="paragraph" w:styleId="BalloonText">
    <w:name w:val="Balloon Text"/>
    <w:basedOn w:val="Normal"/>
    <w:link w:val="BalloonTextChar"/>
    <w:uiPriority w:val="99"/>
    <w:semiHidden/>
    <w:unhideWhenUsed/>
    <w:rsid w:val="00B721E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21E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21E0"/>
    <w:rPr>
      <w:b/>
      <w:bCs/>
    </w:rPr>
  </w:style>
  <w:style w:type="character" w:customStyle="1" w:styleId="CommentSubjectChar">
    <w:name w:val="Comment Subject Char"/>
    <w:basedOn w:val="CommentTextChar"/>
    <w:link w:val="CommentSubject"/>
    <w:uiPriority w:val="99"/>
    <w:semiHidden/>
    <w:rsid w:val="00B721E0"/>
    <w:rPr>
      <w:rFonts w:eastAsia="Times New Roman" w:cs="Times New Roman"/>
      <w:b/>
      <w:bCs/>
      <w:sz w:val="20"/>
      <w:szCs w:val="20"/>
    </w:rPr>
  </w:style>
  <w:style w:type="paragraph" w:customStyle="1" w:styleId="Normal2">
    <w:name w:val="Normal+2"/>
    <w:basedOn w:val="Normal"/>
    <w:next w:val="Normal"/>
    <w:rsid w:val="00B721E0"/>
    <w:pPr>
      <w:autoSpaceDE w:val="0"/>
      <w:autoSpaceDN w:val="0"/>
      <w:adjustRightInd w:val="0"/>
    </w:pPr>
    <w:rPr>
      <w:rFonts w:eastAsia="Times New Roman" w:cs="Times New Roman"/>
      <w:lang w:eastAsia="en-GB"/>
    </w:rPr>
  </w:style>
  <w:style w:type="character" w:styleId="Hyperlink">
    <w:name w:val="Hyperlink"/>
    <w:rsid w:val="00B721E0"/>
    <w:rPr>
      <w:strike w:val="0"/>
      <w:dstrike w:val="0"/>
      <w:color w:val="335D65"/>
      <w:u w:val="none"/>
      <w:effect w:val="none"/>
    </w:rPr>
  </w:style>
  <w:style w:type="paragraph" w:styleId="Header">
    <w:name w:val="header"/>
    <w:basedOn w:val="Normal"/>
    <w:link w:val="HeaderChar"/>
    <w:uiPriority w:val="99"/>
    <w:unhideWhenUsed/>
    <w:rsid w:val="00B721E0"/>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B721E0"/>
    <w:rPr>
      <w:rFonts w:eastAsia="Times New Roman" w:cs="Times New Roman"/>
    </w:rPr>
  </w:style>
  <w:style w:type="paragraph" w:styleId="Footer">
    <w:name w:val="footer"/>
    <w:basedOn w:val="Normal"/>
    <w:link w:val="FooterChar"/>
    <w:uiPriority w:val="99"/>
    <w:unhideWhenUsed/>
    <w:rsid w:val="00B721E0"/>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B721E0"/>
    <w:rPr>
      <w:rFonts w:eastAsia="Times New Roman" w:cs="Times New Roman"/>
    </w:rPr>
  </w:style>
  <w:style w:type="table" w:styleId="TableGrid">
    <w:name w:val="Table Grid"/>
    <w:basedOn w:val="TableNormal"/>
    <w:uiPriority w:val="59"/>
    <w:rsid w:val="0059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B721E0"/>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E0"/>
    <w:rPr>
      <w:rFonts w:eastAsia="Times New Roman" w:cs="Times New Roman"/>
      <w:b/>
      <w:bCs/>
    </w:rPr>
  </w:style>
  <w:style w:type="numbering" w:customStyle="1" w:styleId="NoList1">
    <w:name w:val="No List1"/>
    <w:next w:val="NoList"/>
    <w:uiPriority w:val="99"/>
    <w:semiHidden/>
    <w:unhideWhenUsed/>
    <w:rsid w:val="00B721E0"/>
  </w:style>
  <w:style w:type="character" w:styleId="CommentReference">
    <w:name w:val="annotation reference"/>
    <w:uiPriority w:val="99"/>
    <w:semiHidden/>
    <w:rsid w:val="00B721E0"/>
    <w:rPr>
      <w:sz w:val="16"/>
      <w:szCs w:val="16"/>
    </w:rPr>
  </w:style>
  <w:style w:type="paragraph" w:styleId="CommentText">
    <w:name w:val="annotation text"/>
    <w:basedOn w:val="Normal"/>
    <w:link w:val="CommentTextChar"/>
    <w:semiHidden/>
    <w:rsid w:val="00B721E0"/>
    <w:rPr>
      <w:rFonts w:eastAsia="Times New Roman" w:cs="Times New Roman"/>
      <w:sz w:val="20"/>
      <w:szCs w:val="20"/>
    </w:rPr>
  </w:style>
  <w:style w:type="character" w:customStyle="1" w:styleId="CommentTextChar">
    <w:name w:val="Comment Text Char"/>
    <w:basedOn w:val="DefaultParagraphFont"/>
    <w:link w:val="CommentText"/>
    <w:semiHidden/>
    <w:rsid w:val="00B721E0"/>
    <w:rPr>
      <w:rFonts w:eastAsia="Times New Roman" w:cs="Times New Roman"/>
      <w:sz w:val="20"/>
      <w:szCs w:val="20"/>
    </w:rPr>
  </w:style>
  <w:style w:type="paragraph" w:styleId="ListParagraph">
    <w:name w:val="List Paragraph"/>
    <w:basedOn w:val="Normal"/>
    <w:uiPriority w:val="34"/>
    <w:qFormat/>
    <w:rsid w:val="00B721E0"/>
    <w:pPr>
      <w:ind w:left="720"/>
      <w:contextualSpacing/>
    </w:pPr>
    <w:rPr>
      <w:rFonts w:eastAsia="Calibri"/>
    </w:rPr>
  </w:style>
  <w:style w:type="paragraph" w:styleId="BalloonText">
    <w:name w:val="Balloon Text"/>
    <w:basedOn w:val="Normal"/>
    <w:link w:val="BalloonTextChar"/>
    <w:uiPriority w:val="99"/>
    <w:semiHidden/>
    <w:unhideWhenUsed/>
    <w:rsid w:val="00B721E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21E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21E0"/>
    <w:rPr>
      <w:b/>
      <w:bCs/>
    </w:rPr>
  </w:style>
  <w:style w:type="character" w:customStyle="1" w:styleId="CommentSubjectChar">
    <w:name w:val="Comment Subject Char"/>
    <w:basedOn w:val="CommentTextChar"/>
    <w:link w:val="CommentSubject"/>
    <w:uiPriority w:val="99"/>
    <w:semiHidden/>
    <w:rsid w:val="00B721E0"/>
    <w:rPr>
      <w:rFonts w:eastAsia="Times New Roman" w:cs="Times New Roman"/>
      <w:b/>
      <w:bCs/>
      <w:sz w:val="20"/>
      <w:szCs w:val="20"/>
    </w:rPr>
  </w:style>
  <w:style w:type="paragraph" w:customStyle="1" w:styleId="Normal2">
    <w:name w:val="Normal+2"/>
    <w:basedOn w:val="Normal"/>
    <w:next w:val="Normal"/>
    <w:rsid w:val="00B721E0"/>
    <w:pPr>
      <w:autoSpaceDE w:val="0"/>
      <w:autoSpaceDN w:val="0"/>
      <w:adjustRightInd w:val="0"/>
    </w:pPr>
    <w:rPr>
      <w:rFonts w:eastAsia="Times New Roman" w:cs="Times New Roman"/>
      <w:lang w:eastAsia="en-GB"/>
    </w:rPr>
  </w:style>
  <w:style w:type="character" w:styleId="Hyperlink">
    <w:name w:val="Hyperlink"/>
    <w:rsid w:val="00B721E0"/>
    <w:rPr>
      <w:strike w:val="0"/>
      <w:dstrike w:val="0"/>
      <w:color w:val="335D65"/>
      <w:u w:val="none"/>
      <w:effect w:val="none"/>
    </w:rPr>
  </w:style>
  <w:style w:type="paragraph" w:styleId="Header">
    <w:name w:val="header"/>
    <w:basedOn w:val="Normal"/>
    <w:link w:val="HeaderChar"/>
    <w:uiPriority w:val="99"/>
    <w:unhideWhenUsed/>
    <w:rsid w:val="00B721E0"/>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B721E0"/>
    <w:rPr>
      <w:rFonts w:eastAsia="Times New Roman" w:cs="Times New Roman"/>
    </w:rPr>
  </w:style>
  <w:style w:type="paragraph" w:styleId="Footer">
    <w:name w:val="footer"/>
    <w:basedOn w:val="Normal"/>
    <w:link w:val="FooterChar"/>
    <w:uiPriority w:val="99"/>
    <w:unhideWhenUsed/>
    <w:rsid w:val="00B721E0"/>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B721E0"/>
    <w:rPr>
      <w:rFonts w:eastAsia="Times New Roman" w:cs="Times New Roman"/>
    </w:rPr>
  </w:style>
  <w:style w:type="table" w:styleId="TableGrid">
    <w:name w:val="Table Grid"/>
    <w:basedOn w:val="TableNormal"/>
    <w:uiPriority w:val="59"/>
    <w:rsid w:val="0059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cweb/files/seealsodocs/93561/Equalities%20-%20Initial%20Equality%20Impact%20Assessment%20screening%20templat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408D-BC6E-43E4-902A-4F4F1070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CF75C632</Template>
  <TotalTime>0</TotalTime>
  <Pages>10</Pages>
  <Words>2759</Words>
  <Characters>15731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richard.clements</dc:creator>
  <cp:lastModifiedBy>William.Reed</cp:lastModifiedBy>
  <cp:revision>2</cp:revision>
  <dcterms:created xsi:type="dcterms:W3CDTF">2013-12-02T10:17:00Z</dcterms:created>
  <dcterms:modified xsi:type="dcterms:W3CDTF">2013-12-02T10:17:00Z</dcterms:modified>
</cp:coreProperties>
</file>

<file path=docProps/custom.xml><?xml version="1.0" encoding="utf-8"?>
<op:Properties xmlns:op="http://schemas.openxmlformats.org/officeDocument/2006/custom-properties"/>
</file>